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2022年第一批建设项目竣工环境保护自主验收效果评估发现问题汇总表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622"/>
        <w:gridCol w:w="710"/>
        <w:gridCol w:w="1432"/>
        <w:gridCol w:w="1576"/>
        <w:gridCol w:w="2294"/>
        <w:gridCol w:w="1150"/>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79" w:type="pct"/>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序号</w:t>
            </w:r>
          </w:p>
        </w:tc>
        <w:tc>
          <w:tcPr>
            <w:tcW w:w="199" w:type="pct"/>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所在地</w:t>
            </w:r>
          </w:p>
        </w:tc>
        <w:tc>
          <w:tcPr>
            <w:tcW w:w="227" w:type="pct"/>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建设单位</w:t>
            </w:r>
          </w:p>
        </w:tc>
        <w:tc>
          <w:tcPr>
            <w:tcW w:w="458" w:type="pct"/>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项目名称</w:t>
            </w:r>
          </w:p>
        </w:tc>
        <w:tc>
          <w:tcPr>
            <w:tcW w:w="504" w:type="pct"/>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自主验收第三方服务单位</w:t>
            </w:r>
          </w:p>
        </w:tc>
        <w:tc>
          <w:tcPr>
            <w:tcW w:w="1102" w:type="pct"/>
            <w:gridSpan w:val="2"/>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评估情况</w:t>
            </w:r>
          </w:p>
        </w:tc>
        <w:tc>
          <w:tcPr>
            <w:tcW w:w="2326" w:type="pct"/>
            <w:shd w:val="clear" w:color="auto" w:fill="auto"/>
            <w:vAlign w:val="center"/>
          </w:tcPr>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评估发现的主要问题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椒江区</w:t>
            </w:r>
          </w:p>
        </w:tc>
        <w:tc>
          <w:tcPr>
            <w:tcW w:w="227"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台州市文邦科技发展有限公司</w:t>
            </w:r>
          </w:p>
        </w:tc>
        <w:tc>
          <w:tcPr>
            <w:tcW w:w="458"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年产验光组合台5000台、视力表3500个、瞳距仪1.5万个、眼镜打孔机3万个的技改项目</w:t>
            </w:r>
          </w:p>
        </w:tc>
        <w:tc>
          <w:tcPr>
            <w:tcW w:w="5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台州市永恒检测技术有限公司</w:t>
            </w: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（1）项目类型填报错误。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（2）污染物排放量未填完整。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变动情况分析不够详细，应对照环办环评函[2020]688号逐条分析。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调试期间产品产量。</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防护距离情况符合性分析。</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（3）项目验收报告中开工建设时间与环评批复时间矛盾。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未明确竣工时间。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73分</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台州市椒江建国砂洗厂</w:t>
            </w:r>
          </w:p>
        </w:tc>
        <w:tc>
          <w:tcPr>
            <w:tcW w:w="458"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年砂洗200万套服装的技改项目</w:t>
            </w:r>
          </w:p>
        </w:tc>
        <w:tc>
          <w:tcPr>
            <w:tcW w:w="5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浙江科达检测有限公司</w:t>
            </w: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排污许可证编号未填。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（1）未明确竣工时间。</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燃气废气烟气黑度</w:t>
            </w:r>
            <w:r>
              <w:rPr>
                <w:rFonts w:hint="eastAsia" w:ascii="Times New Roman" w:hAnsi="Times New Roman" w:eastAsia="仿宋_GB2312" w:cs="Times New Roman"/>
                <w:kern w:val="0"/>
                <w:szCs w:val="21"/>
              </w:rPr>
              <w:t>监测结果</w:t>
            </w:r>
            <w:r>
              <w:rPr>
                <w:rFonts w:ascii="Times New Roman" w:hAnsi="Times New Roman" w:eastAsia="仿宋_GB2312" w:cs="Times New Roman"/>
                <w:kern w:val="0"/>
                <w:szCs w:val="21"/>
              </w:rPr>
              <w:t>。</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（3）未明确雨水监测时间。</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水平衡计算过程，也未提供用水发票等支撑材料。</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（5）废包装桶产生量验收报告和危废台账不一致。</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（6）未明确项目排污许可证申领时间。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未明确竣工时间。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缺少企业自行监测章节。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73分</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黄岩区</w:t>
            </w:r>
          </w:p>
        </w:tc>
        <w:tc>
          <w:tcPr>
            <w:tcW w:w="227"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台州市原本动力科技有限公司</w:t>
            </w:r>
          </w:p>
        </w:tc>
        <w:tc>
          <w:tcPr>
            <w:tcW w:w="458"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年产4万套摩托车塑料配件技改项目（先行）</w:t>
            </w:r>
          </w:p>
        </w:tc>
        <w:tc>
          <w:tcPr>
            <w:tcW w:w="5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台州市台环环境检测科技有限公司</w:t>
            </w: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45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50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（1）项目类型填报错误。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（2）环境保护设施落实情况监测情况填报错误。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（3）工程建设对项目周边环境的影响填报错误。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缺少项目变动情况分析及重大变动符合性分析章节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（1）缺少废水、废气处理设施相关参数。</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（2）危废堆场设置不规范（无渗滤液收集措施）。</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雨排口未进行监测</w:t>
            </w:r>
            <w:r>
              <w:rPr>
                <w:rFonts w:ascii="Times New Roman" w:hAnsi="Times New Roman" w:eastAsia="仿宋_GB2312" w:cs="Times New Roman"/>
                <w:kern w:val="0"/>
                <w:szCs w:val="21"/>
              </w:rPr>
              <w:t>。</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（4）固废产生情况前后文不一致。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废气处理工艺描述前后不一致。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60分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浙江宜刷生活用品有限公司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 1000 吨日用塑料制品技改项目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台州市绿翼环保检测有限公司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（1）验收报告公示结束时间为2021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7</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16</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，平台登记时间为2021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11</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未在报告公示结束5个工作日内填报全国平台</w:t>
            </w:r>
            <w:r>
              <w:rPr>
                <w:rFonts w:ascii="Times New Roman" w:hAnsi="Times New Roman" w:eastAsia="仿宋_GB2312" w:cs="Times New Roman"/>
                <w:kern w:val="0"/>
                <w:szCs w:val="21"/>
              </w:rPr>
              <w:t>。</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（2）污染物排放量未填完整。环境保护设施落实情况不够详细。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2326" w:type="pct"/>
            <w:shd w:val="clear" w:color="auto" w:fill="auto"/>
            <w:vAlign w:val="center"/>
          </w:tcPr>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监测当天的生产工况。</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（2）未明确竣工时间。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（3）无防护距离情况分析。</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（4）缺少水平衡支撑材料。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71分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路桥区</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台州市新元通汽车服务有限公司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年营业额13200万元汽车销售维修服务项目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浙江鑫泰检测技术有限公司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喷漆废气进口</w:t>
            </w:r>
            <w:r>
              <w:rPr>
                <w:rFonts w:hint="eastAsia" w:ascii="Times New Roman" w:hAnsi="Times New Roman" w:eastAsia="仿宋_GB2312" w:cs="Times New Roman"/>
                <w:kern w:val="0"/>
                <w:szCs w:val="21"/>
              </w:rPr>
              <w:t>污染物监测</w:t>
            </w:r>
            <w:r>
              <w:rPr>
                <w:rFonts w:ascii="Times New Roman" w:hAnsi="Times New Roman" w:eastAsia="仿宋_GB2312" w:cs="Times New Roman"/>
                <w:kern w:val="0"/>
                <w:szCs w:val="21"/>
              </w:rPr>
              <w:t>结果及相关分析。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（2）缺少乙酸酯类监测方法、检出限。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（3）缺少调漆房防治措施。</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（4）2020年8月进行的废气采样，2021年6月30~7月1日进行的废水采样，缺少调试期间“三废”台账等支撑材料。</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（5）危废统计时间接近一年，但仍无废过滤棉、废活性炭、浮油等危废产生，不合理。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61分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台州全成机电有限公司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生产电机转子设备更新项目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浙江格临检测股份有限公司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项目竣工时间为2015</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6</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，报告公示时间为2021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7</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，竣工时间至验收报告公示时间超过12个月，属于重大问题第一条“竣工12个月内未完成验收”。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验收报告公示结束时间为2021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7</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，平台登记时间为2021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11</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未在报告公示结束5个工作日内填报全国平台</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未明确</w:t>
            </w:r>
            <w:r>
              <w:rPr>
                <w:rFonts w:ascii="Times New Roman" w:hAnsi="Times New Roman" w:eastAsia="仿宋_GB2312" w:cs="Times New Roman"/>
                <w:kern w:val="0"/>
                <w:szCs w:val="21"/>
              </w:rPr>
              <w:t>验收范围，</w:t>
            </w:r>
            <w:r>
              <w:rPr>
                <w:rFonts w:hint="eastAsia" w:ascii="Times New Roman" w:hAnsi="Times New Roman" w:eastAsia="仿宋_GB2312" w:cs="Times New Roman"/>
                <w:kern w:val="0"/>
                <w:szCs w:val="21"/>
              </w:rPr>
              <w:t>未明确</w:t>
            </w:r>
            <w:r>
              <w:rPr>
                <w:rFonts w:ascii="Times New Roman" w:hAnsi="Times New Roman" w:eastAsia="仿宋_GB2312" w:cs="Times New Roman"/>
                <w:kern w:val="0"/>
                <w:szCs w:val="21"/>
              </w:rPr>
              <w:t>项目先行验收内容。</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（2）本项目变动情况较大，设备变动情况分析不够详细，原辅料变动情况分析不详细，未按照环办环评函[2020]688号逐条分析。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炉渣、废乳化液等危废台账。</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废包装材料、漆渣等废物产生</w:t>
            </w:r>
            <w:r>
              <w:rPr>
                <w:rFonts w:hint="eastAsia" w:ascii="Times New Roman" w:hAnsi="Times New Roman" w:eastAsia="仿宋_GB2312" w:cs="Times New Roman"/>
                <w:kern w:val="0"/>
                <w:szCs w:val="21"/>
              </w:rPr>
              <w:t>情况</w:t>
            </w:r>
            <w:r>
              <w:rPr>
                <w:rFonts w:ascii="Times New Roman" w:hAnsi="Times New Roman" w:eastAsia="仿宋_GB2312" w:cs="Times New Roman"/>
                <w:kern w:val="0"/>
                <w:szCs w:val="21"/>
              </w:rPr>
              <w:t>，和危废处置协议不一致。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采样、监测人员资质情况。</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（4）无VOCs排放量符合性分析。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（5）缺少环评应急措施落实情况。</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（6）设备有真空浸漆设备、水帘喷漆台等，缺少浸漆、喷漆等相关工艺说明以及污染物产生情况。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（1）未明确竣工时间。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（2）未明确验收范围。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（3）缺少总量排放符合性分析。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0</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集聚区</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台州市海鹏机械有限公司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年产汽车发电器皮带轮（200万套）及大容量洗衣机离合器（单向）轴承（890万套）项目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浙江鑫泰检测技术有限公司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（1）污染物排放量中废气污染物排放量未填。</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（2）环境保护设施落实情况填报内容不够详细。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本项目变动较多，变动情况分析不够详细，应按照环办环评函[2020]688号逐条分析。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缺少新增</w:t>
            </w:r>
            <w:r>
              <w:rPr>
                <w:rFonts w:ascii="Times New Roman" w:hAnsi="Times New Roman" w:eastAsia="仿宋_GB2312" w:cs="Times New Roman"/>
                <w:kern w:val="0"/>
                <w:szCs w:val="21"/>
              </w:rPr>
              <w:t>的8吨油脂相关成分分析或MSDS等成分支撑材料。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（2）较环评新增碳氢清洗工序，根据验收报告提供的CAS号查询可知该清洗剂为石油醚（沸点155~217</w:t>
            </w:r>
            <w:r>
              <w:rPr>
                <w:rFonts w:hint="eastAsia" w:ascii="宋体" w:hAnsi="宋体" w:eastAsia="宋体" w:cs="宋体"/>
                <w:kern w:val="0"/>
                <w:szCs w:val="21"/>
              </w:rPr>
              <w:t>℃</w:t>
            </w:r>
            <w:r>
              <w:rPr>
                <w:rFonts w:ascii="Times New Roman" w:hAnsi="Times New Roman" w:eastAsia="仿宋_GB2312" w:cs="Times New Roman"/>
                <w:kern w:val="0"/>
                <w:szCs w:val="21"/>
              </w:rPr>
              <w:t>）为常用的有机溶剂，核实重大变动符合性分析。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验收报告表3-4中提及含油金属屑属于危废，根据《国家危险废物名录》（2021年版）属于利用豁免（经压榨、压滤、过滤、除油达到静置无油漏后打包压块用于金属冶炼），缺少相关台账、转移联单等支撑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（4）含油金属屑属于危废，需经处理后用于金属冶炼，处置不当。</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（5）本项目油脂用量为8t/a，废油脂产生量仅为0.024t/a，缺少油脂物料去向说明。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缺少固废处置情况说明。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37</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浙江巨鼎包装有限公司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新增年产4.7万吨新型瓦楞纸生产线技术改造项目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浙江鑫泰检测技术有限公司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（1）排污许可证编号错误。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（2）验收报告公示结束时间为2021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6</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，平台登记时间为2021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31</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未在报告公示结束5个工作日内填报全国平台</w:t>
            </w:r>
            <w:r>
              <w:rPr>
                <w:rFonts w:ascii="Times New Roman" w:hAnsi="Times New Roman" w:eastAsia="仿宋_GB2312" w:cs="Times New Roman"/>
                <w:kern w:val="0"/>
                <w:szCs w:val="21"/>
              </w:rPr>
              <w:t>。</w:t>
            </w:r>
          </w:p>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（3）未</w:t>
            </w:r>
            <w:r>
              <w:rPr>
                <w:rFonts w:ascii="Times New Roman" w:hAnsi="Times New Roman" w:eastAsia="仿宋_GB2312" w:cs="Times New Roman"/>
                <w:kern w:val="0"/>
                <w:szCs w:val="21"/>
              </w:rPr>
              <w:t>明确排污许可证申领时间。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（1）缺少环评以新带老措施落实情况，缺少全厂实际产品方案。</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（2）缺少原有项目情况与本次项目情况分析。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（3）环评要求厂区全部燃气锅炉进行低氮改造，缺少排气筒情况</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缺少监测情况。</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（4）排污权交易凭证仅包含二氧化硫，</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其他总量交易情况，验收报告</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废气排放总量符合性分析，</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总量削减情况分析。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验收产能范围错误。</w:t>
            </w:r>
          </w:p>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无总量排放符合性分析。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37</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临海市</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浙江钟鼎木业有限公司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年产900套木门、15000根台球杆、1000张台球桌技改项目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台州普洛赛斯检测科技有限公司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（1）</w:t>
            </w:r>
            <w:r>
              <w:rPr>
                <w:rFonts w:ascii="Times New Roman" w:hAnsi="Times New Roman" w:eastAsia="仿宋_GB2312" w:cs="Times New Roman"/>
                <w:kern w:val="0"/>
                <w:szCs w:val="21"/>
              </w:rPr>
              <w:t>项目类型填报错误。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（2）</w:t>
            </w:r>
            <w:r>
              <w:rPr>
                <w:rFonts w:ascii="Times New Roman" w:hAnsi="Times New Roman" w:eastAsia="仿宋_GB2312" w:cs="Times New Roman"/>
                <w:kern w:val="0"/>
                <w:szCs w:val="21"/>
              </w:rPr>
              <w:t>验收报告公示结束时间为2021年5月8日，平台填报时间为2021年5月24日，</w:t>
            </w:r>
            <w:r>
              <w:rPr>
                <w:rFonts w:hint="eastAsia" w:ascii="Times New Roman" w:hAnsi="Times New Roman" w:eastAsia="仿宋_GB2312" w:cs="Times New Roman"/>
                <w:kern w:val="0"/>
                <w:szCs w:val="21"/>
              </w:rPr>
              <w:t>未在报告公示结束5个工作日内填报全国平台</w:t>
            </w:r>
            <w:r>
              <w:rPr>
                <w:rFonts w:ascii="Times New Roman" w:hAnsi="Times New Roman" w:eastAsia="仿宋_GB2312" w:cs="Times New Roman"/>
                <w:kern w:val="0"/>
                <w:szCs w:val="21"/>
              </w:rPr>
              <w:t>。</w:t>
            </w:r>
          </w:p>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（3）</w:t>
            </w:r>
            <w:r>
              <w:rPr>
                <w:rFonts w:ascii="Times New Roman" w:hAnsi="Times New Roman" w:eastAsia="仿宋_GB2312" w:cs="Times New Roman"/>
                <w:kern w:val="0"/>
                <w:szCs w:val="21"/>
              </w:rPr>
              <w:t>污染物排放量中废气污染物排放量未填。</w:t>
            </w:r>
          </w:p>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（4）</w:t>
            </w:r>
            <w:r>
              <w:rPr>
                <w:rFonts w:ascii="Times New Roman" w:hAnsi="Times New Roman" w:eastAsia="仿宋_GB2312" w:cs="Times New Roman"/>
                <w:kern w:val="0"/>
                <w:szCs w:val="21"/>
              </w:rPr>
              <w:t>环境保护设施落实情况填报内容不够详细。</w:t>
            </w:r>
          </w:p>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（5）</w:t>
            </w:r>
            <w:r>
              <w:rPr>
                <w:rFonts w:ascii="Times New Roman" w:hAnsi="Times New Roman" w:eastAsia="仿宋_GB2312" w:cs="Times New Roman"/>
                <w:kern w:val="0"/>
                <w:szCs w:val="21"/>
              </w:rPr>
              <w:t>工程建设对项目周边环境的影响填报错误。</w:t>
            </w:r>
          </w:p>
          <w:p>
            <w:pPr>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（6）</w:t>
            </w:r>
            <w:r>
              <w:rPr>
                <w:rFonts w:ascii="Times New Roman" w:hAnsi="Times New Roman" w:eastAsia="仿宋_GB2312" w:cs="Times New Roman"/>
                <w:kern w:val="0"/>
                <w:szCs w:val="21"/>
              </w:rPr>
              <w:t>上传的验收报告无相关附图附件。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（1）厂区内挥发性有机物（VOCs）无组织排放标准错误。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（2）环境事故防范缺少相关说明和支撑材料。</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台球杆、台球桌喷漆废气处理设施进口</w:t>
            </w:r>
            <w:r>
              <w:rPr>
                <w:rFonts w:hint="eastAsia" w:ascii="Times New Roman" w:hAnsi="Times New Roman" w:eastAsia="仿宋_GB2312" w:cs="Times New Roman"/>
                <w:kern w:val="0"/>
                <w:szCs w:val="21"/>
              </w:rPr>
              <w:t>监测</w:t>
            </w:r>
            <w:r>
              <w:rPr>
                <w:rFonts w:ascii="Times New Roman" w:hAnsi="Times New Roman" w:eastAsia="仿宋_GB2312" w:cs="Times New Roman"/>
                <w:kern w:val="0"/>
                <w:szCs w:val="21"/>
              </w:rPr>
              <w:t>结果及相关分析评价。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（1）缺少环保设施处理效率。</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（2）缺少验收组签到单。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57</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台州市欧创塑业有限公司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年产20万套电动车配件技改项目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台州市中通检测科技有限公司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污染物排放量中废气污染物排放量未填。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（1）缺少VOCS排放量符合性分析。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（2）项目8月竣工，自来水水票用的是7月的水票，前后矛盾。</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（3）未明确竣工时间。</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（4）平台填报项目竣工时间为2020</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，废水、废气、噪声监测时间为2020</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19</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验收会无专业技术专家参加。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47</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浙江宏元药业股份有限公司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年产80吨A8、50吨B4、50吨D5、50吨Z8.1、30吨罗素伐他汀R-2、30吨N-甲基度洛西汀技改项目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浙江科达检测有限公司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widowControl/>
              <w:adjustRightInd w:val="0"/>
              <w:snapToGrid w:val="0"/>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（1）“工程变动情况”选项中，产品规模、废水处理设施等均发生变化，但“变动情况及原因”均填写“无”。</w:t>
            </w:r>
          </w:p>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（2）该项目为技改项目，且其中年产30吨罗素伐他汀R-2不再实施，在“污染物排放量”选项中，应有“总体工程许可排放量”、“以新带老削减量”、“区域平衡替代本工程削减量”等选项内容。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验收仅为其中的两个产品，本次验收应该为阶段性验收。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（1）废水监测频次不符合《验收技术指南 污染影响类》要求。</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（2）配水池氯化物异常。</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RTO进口氧含量</w:t>
            </w:r>
            <w:r>
              <w:rPr>
                <w:rFonts w:hint="eastAsia" w:ascii="Times New Roman" w:hAnsi="Times New Roman" w:eastAsia="仿宋_GB2312" w:cs="Times New Roman"/>
                <w:kern w:val="0"/>
                <w:szCs w:val="21"/>
              </w:rPr>
              <w:t>监测</w:t>
            </w:r>
            <w:r>
              <w:rPr>
                <w:rFonts w:ascii="Times New Roman" w:hAnsi="Times New Roman" w:eastAsia="仿宋_GB2312" w:cs="Times New Roman"/>
                <w:kern w:val="0"/>
                <w:szCs w:val="21"/>
              </w:rPr>
              <w:t>，未按GB37823-2019要求进行标准氧含量折算，废气评价结果错误。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（4）缺</w:t>
            </w:r>
            <w:r>
              <w:rPr>
                <w:rFonts w:hint="eastAsia" w:ascii="Times New Roman" w:hAnsi="Times New Roman" w:eastAsia="仿宋_GB2312" w:cs="Times New Roman"/>
                <w:kern w:val="0"/>
                <w:szCs w:val="21"/>
              </w:rPr>
              <w:t>少</w:t>
            </w:r>
            <w:r>
              <w:rPr>
                <w:rFonts w:ascii="Times New Roman" w:hAnsi="Times New Roman" w:eastAsia="仿宋_GB2312" w:cs="Times New Roman"/>
                <w:kern w:val="0"/>
                <w:szCs w:val="21"/>
              </w:rPr>
              <w:t>9月23日~9月24日工况。</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（5）表9.2-2，恶臭评价标准值错误。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（6）3.2.4章节中设备规格有所调整，未在工艺流程图中物料批投料与批产出情况中体现。</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（7）6~8月份，B4产品未生产，水平衡采用6~8月的数据进行分析不合适。</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（8）缺少调试期间废水、废气、雨水等在线监测设施运行情况及符合性分析。</w:t>
            </w:r>
          </w:p>
          <w:p>
            <w:pPr>
              <w:keepNext w:val="0"/>
              <w:keepLines w:val="0"/>
              <w:pageBreakBefore w:val="0"/>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（9）RTO设计风量前后不一致。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（1）变动情况：工程变动情况与报告不符。</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（2）环境保护设施：本项目废气不涉及二氯甲烷。</w:t>
            </w:r>
          </w:p>
          <w:p>
            <w:pPr>
              <w:keepNext w:val="0"/>
              <w:keepLines w:val="0"/>
              <w:pageBreakBefore w:val="0"/>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（3）废气评价结果未按相关要求进行评价。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仅出具自行监测计划封面，事项中未列明具体自行监测因子、频次等内容。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bCs/>
                <w:kern w:val="0"/>
                <w:szCs w:val="21"/>
              </w:rPr>
              <w:t>56</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台州东海翔染整有限公司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年产1.5亿米高档织物面料搬迁项目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浙江浙海环保科技有限公司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环评要求好氧池加盖密闭，实际措施中好氧池未加盖密闭，废气由有组织排放变更为无组织排放，污染物排放增加，属于重大变更（P22），属于重大问题第</w:t>
            </w:r>
            <w:r>
              <w:rPr>
                <w:rFonts w:hint="eastAsia" w:ascii="Times New Roman" w:hAnsi="Times New Roman" w:eastAsia="仿宋_GB2312" w:cs="Times New Roman"/>
                <w:kern w:val="0"/>
                <w:szCs w:val="21"/>
              </w:rPr>
              <w:t>四</w:t>
            </w:r>
            <w:r>
              <w:rPr>
                <w:rFonts w:ascii="Times New Roman" w:hAnsi="Times New Roman" w:eastAsia="仿宋_GB2312" w:cs="Times New Roman"/>
                <w:kern w:val="0"/>
                <w:szCs w:val="21"/>
              </w:rPr>
              <w:t>条“环境影响报告书（表）经批准后，该建设项目的性质、规模、地点、采用的生产工艺或者防治污染、防止生态破坏的措施发生重大变动，建设单位未重新报批环境影响报告书（表）或者环境影响报告书（表）未经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（1）根据《建设项目竣工环境保护验收技术规范纺织染整工业》，缺少公众参与内容，缺少环境管理调查结果及分析章节。</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（2）缺少调试期间产能。缺少调试期间水平衡情况。</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天然气尾气烟气黑度监测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缺少厂区内非甲烷总烃</w:t>
            </w:r>
            <w:r>
              <w:rPr>
                <w:rFonts w:hint="eastAsia" w:ascii="Times New Roman" w:hAnsi="Times New Roman" w:eastAsia="仿宋_GB2312" w:cs="Times New Roman"/>
                <w:kern w:val="0"/>
                <w:szCs w:val="21"/>
              </w:rPr>
              <w:t>监测结果</w:t>
            </w:r>
            <w:r>
              <w:rPr>
                <w:rFonts w:ascii="Times New Roman" w:hAnsi="Times New Roman" w:eastAsia="仿宋_GB2312" w:cs="Times New Roman"/>
                <w:kern w:val="0"/>
                <w:szCs w:val="21"/>
              </w:rPr>
              <w:t>。</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（4）监测情况：</w:t>
            </w:r>
            <w:r>
              <w:rPr>
                <w:rFonts w:hint="eastAsia" w:ascii="宋体" w:hAnsi="宋体" w:eastAsia="宋体" w:cs="宋体"/>
                <w:kern w:val="0"/>
                <w:szCs w:val="21"/>
              </w:rPr>
              <w:t>①</w:t>
            </w:r>
            <w:r>
              <w:rPr>
                <w:rFonts w:ascii="Times New Roman" w:hAnsi="Times New Roman" w:eastAsia="仿宋_GB2312" w:cs="Times New Roman"/>
                <w:kern w:val="0"/>
                <w:szCs w:val="21"/>
              </w:rPr>
              <w:t>浓污水调节池的色度仅为16，作为印染企业，数据异常。</w:t>
            </w:r>
            <w:r>
              <w:rPr>
                <w:rFonts w:hint="eastAsia" w:ascii="宋体" w:hAnsi="宋体" w:eastAsia="宋体" w:cs="宋体"/>
                <w:kern w:val="0"/>
                <w:szCs w:val="21"/>
              </w:rPr>
              <w:t>②</w:t>
            </w:r>
            <w:r>
              <w:rPr>
                <w:rFonts w:ascii="Times New Roman" w:hAnsi="Times New Roman" w:eastAsia="仿宋_GB2312" w:cs="Times New Roman"/>
                <w:kern w:val="0"/>
                <w:szCs w:val="21"/>
              </w:rPr>
              <w:t>定型废气处理设施为“二级喷淋+高压静电”，对二氧化硫处理效率达63%~90%，氮氧化物处理效率达62%~86%，数据异常。</w:t>
            </w:r>
            <w:r>
              <w:rPr>
                <w:rFonts w:hint="eastAsia" w:ascii="宋体" w:hAnsi="宋体" w:eastAsia="宋体" w:cs="宋体"/>
                <w:kern w:val="0"/>
                <w:szCs w:val="21"/>
              </w:rPr>
              <w:t>③</w:t>
            </w:r>
            <w:r>
              <w:rPr>
                <w:rFonts w:ascii="Times New Roman" w:hAnsi="Times New Roman" w:eastAsia="仿宋_GB2312" w:cs="Times New Roman"/>
                <w:kern w:val="0"/>
                <w:szCs w:val="21"/>
              </w:rPr>
              <w:t>定型废气、涂层废气、污水站废气风量均较设计风量偏大。涂层车间8号废气处理设施，超过约30%风量，数据异常。</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（5）污泥年产生量2500多吨，缺少污泥处置合同，未明确去向。</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（6）废气喷淋塔较环评多出，相应产排水变化情况未在水平衡中体现。</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（7）总量情况：</w:t>
            </w:r>
            <w:r>
              <w:rPr>
                <w:rFonts w:hint="eastAsia" w:ascii="宋体" w:hAnsi="宋体" w:eastAsia="宋体" w:cs="宋体"/>
                <w:kern w:val="0"/>
                <w:szCs w:val="21"/>
              </w:rPr>
              <w:t>①</w:t>
            </w:r>
            <w:r>
              <w:rPr>
                <w:rFonts w:ascii="Times New Roman" w:hAnsi="Times New Roman" w:eastAsia="仿宋_GB2312" w:cs="Times New Roman"/>
                <w:kern w:val="0"/>
                <w:szCs w:val="21"/>
              </w:rPr>
              <w:t>根据表8-9~表8-12，二氧化硫总排放速率为0.272kg/h，氮氧化物总排放速率为0.645kg/h，与表8-26数据有出入，其中二氧化硫总量超标。</w:t>
            </w:r>
            <w:r>
              <w:rPr>
                <w:rFonts w:hint="eastAsia" w:ascii="宋体" w:hAnsi="宋体" w:eastAsia="宋体" w:cs="宋体"/>
                <w:kern w:val="0"/>
                <w:szCs w:val="21"/>
              </w:rPr>
              <w:t>②</w:t>
            </w:r>
            <w:r>
              <w:rPr>
                <w:rFonts w:ascii="Times New Roman" w:hAnsi="Times New Roman" w:eastAsia="仿宋_GB2312" w:cs="Times New Roman"/>
                <w:kern w:val="0"/>
                <w:szCs w:val="21"/>
              </w:rPr>
              <w:t>VOCs总量未计算无组织的排放总量。</w:t>
            </w:r>
          </w:p>
          <w:p>
            <w:pPr>
              <w:keepNext w:val="0"/>
              <w:keepLines w:val="0"/>
              <w:pageBreakBefore w:val="0"/>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缺少验收</w:t>
            </w:r>
            <w:r>
              <w:rPr>
                <w:rFonts w:ascii="Times New Roman" w:hAnsi="Times New Roman" w:eastAsia="仿宋_GB2312" w:cs="Times New Roman"/>
                <w:kern w:val="0"/>
                <w:szCs w:val="21"/>
              </w:rPr>
              <w:t>报告</w:t>
            </w:r>
            <w:r>
              <w:rPr>
                <w:rFonts w:hint="eastAsia" w:ascii="Times New Roman" w:hAnsi="Times New Roman" w:eastAsia="仿宋_GB2312" w:cs="Times New Roman"/>
                <w:kern w:val="0"/>
                <w:szCs w:val="21"/>
              </w:rPr>
              <w:t>总</w:t>
            </w:r>
            <w:r>
              <w:rPr>
                <w:rFonts w:ascii="Times New Roman" w:hAnsi="Times New Roman" w:eastAsia="仿宋_GB2312" w:cs="Times New Roman"/>
                <w:kern w:val="0"/>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（1）工程变动情况：</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定型、涂层废气排气筒数量变化情况。</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危废产生种类变化情况。</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（2）验收结论缺少噪声、固废、总量等内容。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缺少其他说明事项内容。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bCs/>
                <w:kern w:val="0"/>
                <w:szCs w:val="21"/>
              </w:rPr>
              <w:t>0</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浙江万盛股份有限公司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浙江万盛股份有限公司年产48000吨高效环保型阻燃剂、腰果酚系列产品生产项目（先行，年产24000吨腰果酚系列产品项目）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台州市永恒检测技术有限公司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未明确项目排污许可证申领时间。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（1）缺少腰果酚环氧树脂固化剂设备与产能情况匹配性。</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（2）缺少《污染影响类建设项目重大变动清单（试行）的通知》（环办环评函〔2020〕688号）符合性分析内容。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（1）缺少调试期间各股废水产生及废水总量核算计算过程。腰果酚精制项目真空泵增加7台，缺少相应废水、废气等污染物产生情况较环评变化对比分析。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（2）缺少不使用固体投料器的情况说明及其是否会对污染物排放造成影响的分析。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（3）缺少固废变动情况分析及说明。</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（4）第六章节废水、废气验收执行标准错误。燃气导热油炉尾气排放标准限值错误。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（5）监测工况不全，不能体现全厂正常生产时污染物排放情况。</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（6）监测情况：</w:t>
            </w:r>
            <w:r>
              <w:rPr>
                <w:rFonts w:hint="eastAsia" w:ascii="宋体" w:hAnsi="宋体" w:eastAsia="宋体" w:cs="宋体"/>
                <w:kern w:val="0"/>
                <w:szCs w:val="21"/>
              </w:rPr>
              <w:t>①</w:t>
            </w:r>
            <w:r>
              <w:rPr>
                <w:rFonts w:ascii="Times New Roman" w:hAnsi="Times New Roman" w:eastAsia="仿宋_GB2312" w:cs="Times New Roman"/>
                <w:kern w:val="0"/>
                <w:szCs w:val="21"/>
              </w:rPr>
              <w:t>燃气导热油炉尾气二氧化硫、氮氧化物、颗粒物排放限值错误，评价错误。</w:t>
            </w:r>
            <w:r>
              <w:rPr>
                <w:rFonts w:hint="eastAsia" w:ascii="宋体" w:hAnsi="宋体" w:eastAsia="宋体" w:cs="宋体"/>
                <w:kern w:val="0"/>
                <w:szCs w:val="21"/>
              </w:rPr>
              <w:t>②</w:t>
            </w:r>
            <w:r>
              <w:rPr>
                <w:rFonts w:ascii="Times New Roman" w:hAnsi="Times New Roman" w:eastAsia="仿宋_GB2312" w:cs="Times New Roman"/>
                <w:kern w:val="0"/>
                <w:szCs w:val="21"/>
              </w:rPr>
              <w:t>废水监测数据：总磷、色度经“UASB+PACT”处理后倒置，数据异常。</w:t>
            </w:r>
            <w:r>
              <w:rPr>
                <w:rFonts w:hint="eastAsia" w:ascii="宋体" w:hAnsi="宋体" w:eastAsia="宋体" w:cs="宋体"/>
                <w:kern w:val="0"/>
                <w:szCs w:val="21"/>
              </w:rPr>
              <w:t>③</w:t>
            </w:r>
            <w:r>
              <w:rPr>
                <w:rFonts w:ascii="Times New Roman" w:hAnsi="Times New Roman" w:eastAsia="仿宋_GB2312" w:cs="Times New Roman"/>
                <w:kern w:val="0"/>
                <w:szCs w:val="21"/>
              </w:rPr>
              <w:t>缺少厂区内无组织废气监测。</w:t>
            </w:r>
            <w:r>
              <w:rPr>
                <w:rFonts w:hint="eastAsia" w:ascii="宋体" w:hAnsi="宋体" w:eastAsia="宋体" w:cs="宋体"/>
                <w:kern w:val="0"/>
                <w:szCs w:val="21"/>
              </w:rPr>
              <w:t>④</w:t>
            </w:r>
            <w:r>
              <w:rPr>
                <w:rFonts w:ascii="Times New Roman" w:hAnsi="Times New Roman" w:eastAsia="仿宋_GB2312" w:cs="Times New Roman"/>
                <w:kern w:val="0"/>
                <w:szCs w:val="21"/>
              </w:rPr>
              <w:t>废气监测数据：精馏车间废气预处理设施（一级酸洗+二级碱洗）对有机物处理效率异常。固化车间废气预处理设施（一级酸洗+二级碱洗）对有机物处理效率异常。RTO风量前后差异太大，进口未对氧含量进行监测，氮氧化物数据异常。</w:t>
            </w:r>
            <w:r>
              <w:rPr>
                <w:rFonts w:hint="eastAsia" w:ascii="宋体" w:hAnsi="宋体" w:eastAsia="宋体" w:cs="宋体"/>
                <w:kern w:val="0"/>
                <w:szCs w:val="21"/>
              </w:rPr>
              <w:t>⑤</w:t>
            </w:r>
            <w:r>
              <w:rPr>
                <w:rFonts w:ascii="Times New Roman" w:hAnsi="Times New Roman" w:eastAsia="仿宋_GB2312" w:cs="Times New Roman"/>
                <w:kern w:val="0"/>
                <w:szCs w:val="21"/>
              </w:rPr>
              <w:t>乙二胺、环氧氯丙烷、苯系数、正丁醇、异丙醇、二</w:t>
            </w:r>
            <w:r>
              <w:rPr>
                <w:rFonts w:ascii="仿宋" w:hAnsi="仿宋" w:eastAsia="仿宋" w:cs="Times New Roman"/>
                <w:kern w:val="0"/>
                <w:szCs w:val="21"/>
              </w:rPr>
              <w:t>噁</w:t>
            </w:r>
            <w:r>
              <w:rPr>
                <w:rFonts w:ascii="Times New Roman" w:hAnsi="Times New Roman" w:eastAsia="仿宋_GB2312" w:cs="Times New Roman"/>
                <w:kern w:val="0"/>
                <w:szCs w:val="21"/>
              </w:rPr>
              <w:t>英等未明确监测方案及监测限。</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（7）补充二</w:t>
            </w:r>
            <w:r>
              <w:rPr>
                <w:rFonts w:ascii="仿宋" w:hAnsi="仿宋" w:eastAsia="仿宋" w:cs="Times New Roman"/>
                <w:kern w:val="0"/>
                <w:szCs w:val="21"/>
              </w:rPr>
              <w:t>噁</w:t>
            </w:r>
            <w:r>
              <w:rPr>
                <w:rFonts w:ascii="Times New Roman" w:hAnsi="Times New Roman" w:eastAsia="仿宋_GB2312" w:cs="Times New Roman"/>
                <w:kern w:val="0"/>
                <w:szCs w:val="21"/>
              </w:rPr>
              <w:t>英监测单位资质情况。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（1）RTO排放口二氧化硫评价结果错误。</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（2）验收意见不全，缺少7、8页。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bCs/>
                <w:kern w:val="0"/>
                <w:szCs w:val="21"/>
              </w:rPr>
              <w:t>35</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bCs/>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温岭市</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温岭仁谐老年病专科医院</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温岭市三心美德老年病专科医院项目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浙江鑫泰检测技术有限公司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废气监测时间为2019年11月4日~5日，早于项目竣工时间。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（1）本项目属于医疗机构，应按照《建设项目竣工环境保护验收技术规范 医疗机构》（HJ 794-2016）要求编制验收报告。</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运营</w:t>
            </w:r>
            <w:r>
              <w:rPr>
                <w:rFonts w:hint="eastAsia" w:ascii="Times New Roman" w:hAnsi="Times New Roman" w:eastAsia="仿宋_GB2312" w:cs="Times New Roman"/>
                <w:kern w:val="0"/>
                <w:szCs w:val="21"/>
              </w:rPr>
              <w:t>期间</w:t>
            </w:r>
            <w:r>
              <w:rPr>
                <w:rFonts w:ascii="Times New Roman" w:hAnsi="Times New Roman" w:eastAsia="仿宋_GB2312" w:cs="Times New Roman"/>
                <w:kern w:val="0"/>
                <w:szCs w:val="21"/>
              </w:rPr>
              <w:t>调试期间住院人数。</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（3）监测期间工况描述不符合技术规范要求。</w:t>
            </w:r>
          </w:p>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r>
              <w:rPr>
                <w:rFonts w:ascii="Times New Roman" w:hAnsi="Times New Roman" w:eastAsia="仿宋_GB2312" w:cs="Times New Roman"/>
                <w:kern w:val="0"/>
                <w:szCs w:val="21"/>
              </w:rPr>
              <w:t>缺少公众意见调查。</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（5）废水主要污染物排放总量计算错误。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（6）缺少环保设施相关资质支撑材料。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（7）</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废水消毒工艺说明。</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（8）废水监测问题：</w:t>
            </w:r>
            <w:r>
              <w:rPr>
                <w:rFonts w:hint="eastAsia" w:ascii="宋体" w:hAnsi="宋体" w:eastAsia="宋体" w:cs="宋体"/>
                <w:kern w:val="0"/>
                <w:szCs w:val="21"/>
              </w:rPr>
              <w:t>①</w:t>
            </w:r>
            <w:r>
              <w:rPr>
                <w:rFonts w:ascii="Times New Roman" w:hAnsi="Times New Roman" w:eastAsia="仿宋_GB2312" w:cs="Times New Roman"/>
                <w:kern w:val="0"/>
                <w:szCs w:val="21"/>
              </w:rPr>
              <w:t>根据《建设项目竣工环境保护验收技术规范 医疗机构》（HJ 794-2016），总汞、六价铬等一类污染物需要在专业科室污水处理设施排放口进行监测。</w:t>
            </w:r>
            <w:r>
              <w:rPr>
                <w:rFonts w:hint="eastAsia" w:ascii="宋体" w:hAnsi="宋体" w:eastAsia="宋体" w:cs="宋体"/>
                <w:kern w:val="0"/>
                <w:szCs w:val="21"/>
              </w:rPr>
              <w:t>②</w:t>
            </w:r>
            <w:r>
              <w:rPr>
                <w:rFonts w:ascii="Times New Roman" w:hAnsi="Times New Roman" w:eastAsia="仿宋_GB2312" w:cs="Times New Roman"/>
                <w:kern w:val="0"/>
                <w:szCs w:val="21"/>
              </w:rPr>
              <w:t>本项目设有影像科，验收报告未核实是否有含银废水产生。</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（9）固废产生量核算错误。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建设项目竣工环境保护验收技术指南引用错误。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37</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浙江田邦齿轮制造有限公司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年产600万套油泵齿轮技改项目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浙江必利夫检测科技有限公司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（1）未提供调试期间</w:t>
            </w:r>
            <w:r>
              <w:rPr>
                <w:rFonts w:hint="eastAsia" w:ascii="Times New Roman" w:hAnsi="Times New Roman" w:eastAsia="仿宋_GB2312" w:cs="Times New Roman"/>
                <w:kern w:val="0"/>
                <w:szCs w:val="21"/>
              </w:rPr>
              <w:t>产品</w:t>
            </w:r>
            <w:r>
              <w:rPr>
                <w:rFonts w:ascii="Times New Roman" w:hAnsi="Times New Roman" w:eastAsia="仿宋_GB2312" w:cs="Times New Roman"/>
                <w:kern w:val="0"/>
                <w:szCs w:val="21"/>
              </w:rPr>
              <w:t>产量。</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（2）废水采样频次不符合《建设项目竣工环境保护验收技术指南 污染影响类》的要求。</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厂区内非甲烷总烃监测。</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（4）厂界北侧噪声测值错误。</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（5）缺少调试期间固废产生量，预期产生量缺少计算过程。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64</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一般</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玉环市</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浙江苏泊尔股份有限公司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年产1000万片平片涂铝片、600万口铝锅生产线技改项目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浙江瑞启检测技术有限公司温州分公司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（1）污染物排放量未填。</w:t>
            </w:r>
          </w:p>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（2）</w:t>
            </w:r>
            <w:r>
              <w:rPr>
                <w:rFonts w:ascii="Times New Roman" w:hAnsi="Times New Roman" w:eastAsia="仿宋_GB2312" w:cs="Times New Roman"/>
                <w:kern w:val="0"/>
                <w:szCs w:val="21"/>
              </w:rPr>
              <w:t>建设性质错误。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缺少废水新增生活污水排放口分析</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缺少涂装和烧结固化废气排放变动</w:t>
            </w:r>
            <w:r>
              <w:rPr>
                <w:rFonts w:ascii="Times New Roman" w:hAnsi="Times New Roman" w:eastAsia="仿宋_GB2312" w:cs="Times New Roman"/>
                <w:kern w:val="0"/>
                <w:szCs w:val="21"/>
              </w:rPr>
              <w:t>分析，应按照环办环评函[2020]688号逐条分析。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（1）清洗烘干天然气燃烧废气标准限值错误。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废气排放口非甲烷总烃监测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（3）二氧化硫、氮氧化物实际排放量计算错误。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（4）未明确竣工时间。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（5）验收报告中表3-4主要原辅料实际消耗量完全与环评一致，</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相关计算过程及支撑材料。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（6）验收报告中表4-3固废产生情况</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计算过程及支撑材料。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（7）缺少水平衡。</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生产废水处理设施进口</w:t>
            </w:r>
            <w:r>
              <w:rPr>
                <w:rFonts w:hint="eastAsia" w:ascii="Times New Roman" w:hAnsi="Times New Roman" w:eastAsia="仿宋_GB2312" w:cs="Times New Roman"/>
                <w:kern w:val="0"/>
                <w:szCs w:val="21"/>
              </w:rPr>
              <w:t>污染物监测</w:t>
            </w:r>
            <w:r>
              <w:rPr>
                <w:rFonts w:ascii="Times New Roman" w:hAnsi="Times New Roman" w:eastAsia="仿宋_GB2312" w:cs="Times New Roman"/>
                <w:kern w:val="0"/>
                <w:szCs w:val="21"/>
              </w:rPr>
              <w:t>结果，无法进行处理效率评价。</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（9）</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漆类MSDS等成分说明材料。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（10）厂区非甲烷总烃执行标准错误。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（11）缺少采样、分析人员资质情况。</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监测期间</w:t>
            </w:r>
            <w:r>
              <w:rPr>
                <w:rFonts w:hint="eastAsia" w:ascii="Times New Roman" w:hAnsi="Times New Roman" w:eastAsia="仿宋_GB2312" w:cs="Times New Roman"/>
                <w:kern w:val="0"/>
                <w:szCs w:val="21"/>
              </w:rPr>
              <w:t>全厂生产</w:t>
            </w:r>
            <w:r>
              <w:rPr>
                <w:rFonts w:ascii="Times New Roman" w:hAnsi="Times New Roman" w:eastAsia="仿宋_GB2312" w:cs="Times New Roman"/>
                <w:kern w:val="0"/>
                <w:szCs w:val="21"/>
              </w:rPr>
              <w:t>工况。</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（13）雨排口化学需氧量、总氮、氨氮为劣V类水质，石油类为V类水质，企业厂区清污分流存在问题。</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（14）清洗废水半年一换，废气处理设施喷淋废水一个季度一换，不合理。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（1）缺少废水新增生活污水排放口分析，缺少涂装和烧结固化废气排放变动分析，</w:t>
            </w:r>
            <w:r>
              <w:rPr>
                <w:rFonts w:ascii="Times New Roman" w:hAnsi="Times New Roman" w:eastAsia="仿宋_GB2312" w:cs="Times New Roman"/>
                <w:kern w:val="0"/>
                <w:szCs w:val="21"/>
              </w:rPr>
              <w:t>无重大变动符合性分析。</w:t>
            </w:r>
          </w:p>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（2）未明确竣工</w:t>
            </w:r>
            <w:r>
              <w:rPr>
                <w:rFonts w:ascii="Times New Roman" w:hAnsi="Times New Roman" w:eastAsia="仿宋_GB2312" w:cs="Times New Roman"/>
                <w:kern w:val="0"/>
                <w:szCs w:val="21"/>
              </w:rPr>
              <w:t>时间</w:t>
            </w:r>
            <w:r>
              <w:rPr>
                <w:rFonts w:hint="eastAsia"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36</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玉环高雅眼镜厂</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年产100万副眼镜配件生产线技改项目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浙江新硕环境检测有限公司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宋体" w:hAnsi="宋体" w:eastAsia="宋体" w:cs="宋体"/>
                <w:kern w:val="0"/>
                <w:szCs w:val="21"/>
              </w:rPr>
              <w:t>（</w:t>
            </w:r>
            <w:r>
              <w:rPr>
                <w:rFonts w:ascii="Times New Roman" w:hAnsi="Times New Roman" w:eastAsia="宋体" w:cs="Times New Roman"/>
                <w:kern w:val="0"/>
                <w:szCs w:val="21"/>
              </w:rPr>
              <w:t>1）</w:t>
            </w:r>
            <w:r>
              <w:rPr>
                <w:rFonts w:ascii="Times New Roman" w:hAnsi="Times New Roman" w:eastAsia="仿宋_GB2312" w:cs="Times New Roman"/>
                <w:kern w:val="0"/>
                <w:szCs w:val="21"/>
              </w:rPr>
              <w:t>项目类型、工程变动情况填报错误。</w:t>
            </w:r>
          </w:p>
          <w:p>
            <w:pPr>
              <w:widowControl/>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（2）</w:t>
            </w:r>
            <w:r>
              <w:rPr>
                <w:rFonts w:ascii="Times New Roman" w:hAnsi="Times New Roman" w:eastAsia="仿宋_GB2312" w:cs="Times New Roman"/>
                <w:kern w:val="0"/>
                <w:szCs w:val="21"/>
              </w:rPr>
              <w:t>污染物排放量等未填。</w:t>
            </w:r>
          </w:p>
          <w:p>
            <w:pPr>
              <w:adjustRightInd w:val="0"/>
              <w:snapToGrid w:val="0"/>
              <w:rPr>
                <w:rFonts w:ascii="Times New Roman" w:hAnsi="Times New Roman" w:eastAsia="仿宋_GB2312" w:cs="Times New Roman"/>
                <w:kern w:val="0"/>
                <w:szCs w:val="21"/>
              </w:rPr>
            </w:pPr>
            <w:r>
              <w:rPr>
                <w:rFonts w:ascii="Times New Roman" w:hAnsi="Times New Roman" w:eastAsia="宋体" w:cs="Times New Roman"/>
                <w:kern w:val="0"/>
                <w:szCs w:val="21"/>
              </w:rPr>
              <w:t>（3）</w:t>
            </w:r>
            <w:r>
              <w:rPr>
                <w:rFonts w:ascii="Times New Roman" w:hAnsi="Times New Roman" w:eastAsia="仿宋_GB2312" w:cs="Times New Roman"/>
                <w:kern w:val="0"/>
                <w:szCs w:val="21"/>
              </w:rPr>
              <w:t>工程建设对项目周边环境的影响填报错误。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包装桶重复利用措施说明。</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生活污水监测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（3）缺少采样、分析人员信息。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重大变动符合性分析。</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（2）验收意见未签字，缺少验收工作组签到单。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60</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一般</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天台县</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天台县天织滤布有限公司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年产800吨滤布生产线迁建项目（先行）</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台州科正环境检测技术有限公司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（1）工程建设对项目周边环境的影响填报错误。</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（2）报告公示结束时间2021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，全国平台登记时间2021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22</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，未在报告公示结束5个工作日内填报全国平台。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（1）危险废物委托有资质单位处置，</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危废处置单位名称及相关支撑材料。</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（2）企业自行环境监测制度情况前后不一致。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变动情况分析不充分，应对照环办环评函[2020]688号进行分析。</w:t>
            </w:r>
          </w:p>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（2）未明确竣工</w:t>
            </w:r>
            <w:r>
              <w:rPr>
                <w:rFonts w:ascii="Times New Roman" w:hAnsi="Times New Roman" w:eastAsia="仿宋_GB2312" w:cs="Times New Roman"/>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缺少区域削减情况。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74</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（一般）</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台州启扬新材料有限责任公司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年产30万套汽车丝圈脚垫、3万套汽车坐垫、3万套方向盘套改扩建项目</w:t>
            </w:r>
          </w:p>
        </w:tc>
        <w:tc>
          <w:tcPr>
            <w:tcW w:w="504" w:type="pct"/>
            <w:vMerge w:val="restart"/>
            <w:shd w:val="clear" w:color="auto" w:fill="auto"/>
            <w:vAlign w:val="center"/>
          </w:tcPr>
          <w:p>
            <w:pPr>
              <w:widowControl/>
              <w:adjustRightInd w:val="0"/>
              <w:snapToGrid w:val="0"/>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验收监测报告编制机构名称：台州启扬新材料有限责任公司</w:t>
            </w:r>
          </w:p>
          <w:p>
            <w:pPr>
              <w:widowControl/>
              <w:adjustRightInd w:val="0"/>
              <w:snapToGri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验收监测单位：台州科正环境检测技术有限公司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淋膜复合处理设施处理工艺由环评要求的油雾净化器+低温等离子活性炭吸附装置处理变更为活性炭吸附装置，属于重大问题第</w:t>
            </w: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条“</w:t>
            </w:r>
            <w:r>
              <w:rPr>
                <w:rFonts w:hint="eastAsia" w:ascii="Times New Roman" w:hAnsi="Times New Roman" w:eastAsia="仿宋_GB2312" w:cs="Times New Roman"/>
                <w:kern w:val="0"/>
                <w:szCs w:val="21"/>
              </w:rPr>
              <w:t>未按环境影响报告书（表）及其审批部门审批决定要求建成环境保护设施，或者环境保护设施不能与主体工程同时投产或者使用</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工程建设对项目周边环境的影响填报错误。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缺少废气处理设施变动情况分析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（1）造粒车间位于厂房7，后文造粒废气处理设施又位于厂房4，前后文不一致。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（2）章节4.1.1自动破碎清洗线废水一个月排一次，造粒冷却水每周更换一次，与水平衡不一致。</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（3）废胶水包装桶、废过滤网暂未收集不符合相关规范要求。</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废塑料来源</w:t>
            </w:r>
            <w:r>
              <w:rPr>
                <w:rFonts w:hint="eastAsia" w:ascii="Times New Roman" w:hAnsi="Times New Roman" w:eastAsia="仿宋_GB2312" w:cs="Times New Roman"/>
                <w:kern w:val="0"/>
                <w:szCs w:val="21"/>
              </w:rPr>
              <w:t>符合性</w:t>
            </w:r>
            <w:r>
              <w:rPr>
                <w:rFonts w:ascii="Times New Roman" w:hAnsi="Times New Roman" w:eastAsia="仿宋_GB2312" w:cs="Times New Roman"/>
                <w:kern w:val="0"/>
                <w:szCs w:val="21"/>
              </w:rPr>
              <w:t>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废水监测中氯化物监测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（6）生活污水排放不符合环评标准要求。</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（7）挥发性有机物排放量核算未考虑无组织排放量。</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厂区内非甲烷总烃监测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（9）验收执行标准章节缺少主要污染物总量控制指标。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0</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（极差）</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天台振华表面处理有限公司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天台县汽车零部件及机械制造产业配套电镀中心项目（先行）</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台州科正环境检测技术有限公司</w:t>
            </w: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项目竣工时间为</w:t>
            </w:r>
            <w:r>
              <w:rPr>
                <w:rFonts w:ascii="Times New Roman" w:hAnsi="Times New Roman" w:eastAsia="仿宋_GB2312" w:cs="Times New Roman"/>
                <w:kern w:val="0"/>
                <w:szCs w:val="21"/>
              </w:rPr>
              <w:t>2019</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9</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日，报告公示时间为</w:t>
            </w:r>
            <w:r>
              <w:rPr>
                <w:rFonts w:ascii="Times New Roman" w:hAnsi="Times New Roman" w:eastAsia="仿宋_GB2312" w:cs="Times New Roman"/>
                <w:kern w:val="0"/>
                <w:szCs w:val="21"/>
              </w:rPr>
              <w:t>2020</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12</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14</w:t>
            </w:r>
            <w:r>
              <w:rPr>
                <w:rFonts w:hint="eastAsia" w:ascii="Times New Roman" w:hAnsi="Times New Roman" w:eastAsia="仿宋_GB2312" w:cs="Times New Roman"/>
                <w:kern w:val="0"/>
                <w:szCs w:val="21"/>
              </w:rPr>
              <w:t>日，竣工时间至验收报告公示时间超过12个月，属于重大问题第一条“竣工12个月内未完成验收”。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报告公示结束时间2021年</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12</w:t>
            </w:r>
            <w:r>
              <w:rPr>
                <w:rFonts w:hint="eastAsia" w:ascii="Times New Roman" w:hAnsi="Times New Roman" w:eastAsia="仿宋_GB2312" w:cs="Times New Roman"/>
                <w:kern w:val="0"/>
                <w:szCs w:val="21"/>
              </w:rPr>
              <w:t>日，全国平台登记时间2021年3月2</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日，未在报告公示结束5个工作日内填报全国平台。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（1）废水监测数据情况：</w:t>
            </w:r>
            <w:r>
              <w:rPr>
                <w:rFonts w:hint="eastAsia" w:ascii="宋体" w:hAnsi="宋体" w:eastAsia="宋体" w:cs="宋体"/>
                <w:kern w:val="0"/>
                <w:szCs w:val="21"/>
              </w:rPr>
              <w:t>①</w:t>
            </w:r>
            <w:r>
              <w:rPr>
                <w:rFonts w:ascii="Times New Roman" w:hAnsi="Times New Roman" w:eastAsia="仿宋_GB2312" w:cs="Times New Roman"/>
                <w:kern w:val="0"/>
                <w:szCs w:val="21"/>
              </w:rPr>
              <w:t>化学镍废水未单独收集、处理。总镍在18#排放终沉池超标。</w:t>
            </w:r>
            <w:r>
              <w:rPr>
                <w:rFonts w:hint="eastAsia" w:ascii="宋体" w:hAnsi="宋体" w:eastAsia="宋体" w:cs="宋体"/>
                <w:kern w:val="0"/>
                <w:szCs w:val="21"/>
              </w:rPr>
              <w:t>②</w:t>
            </w:r>
            <w:r>
              <w:rPr>
                <w:rFonts w:ascii="Times New Roman" w:hAnsi="Times New Roman" w:eastAsia="仿宋_GB2312" w:cs="Times New Roman"/>
                <w:kern w:val="0"/>
                <w:szCs w:val="21"/>
              </w:rPr>
              <w:t>4#池废水水样监测结果显示，六价铬浓度＞总铬浓度。</w:t>
            </w:r>
            <w:r>
              <w:rPr>
                <w:rFonts w:hint="eastAsia" w:ascii="宋体" w:hAnsi="宋体" w:eastAsia="宋体" w:cs="宋体"/>
                <w:kern w:val="0"/>
                <w:szCs w:val="21"/>
              </w:rPr>
              <w:t>③</w:t>
            </w:r>
            <w:r>
              <w:rPr>
                <w:rFonts w:ascii="Times New Roman" w:hAnsi="Times New Roman" w:eastAsia="仿宋_GB2312" w:cs="Times New Roman"/>
                <w:kern w:val="0"/>
                <w:szCs w:val="21"/>
              </w:rPr>
              <w:t>含铬废水分质分类不清。</w:t>
            </w:r>
            <w:r>
              <w:rPr>
                <w:rFonts w:hint="eastAsia" w:ascii="宋体" w:hAnsi="宋体" w:eastAsia="宋体" w:cs="宋体"/>
                <w:kern w:val="0"/>
                <w:szCs w:val="21"/>
              </w:rPr>
              <w:t>④</w:t>
            </w:r>
            <w:r>
              <w:rPr>
                <w:rFonts w:ascii="Times New Roman" w:hAnsi="Times New Roman" w:eastAsia="仿宋_GB2312" w:cs="Times New Roman"/>
                <w:kern w:val="0"/>
                <w:szCs w:val="21"/>
              </w:rPr>
              <w:t>氯化物：18#、19#氯化物监测结果不合理。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（2）污泥等固废产生量发生较大变化，缺少情况说明。缺少调试期间产生的固废处置情况。</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（3）缺少总量计算过程。</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r>
              <w:rPr>
                <w:rFonts w:ascii="Times New Roman" w:hAnsi="Times New Roman" w:eastAsia="仿宋_GB2312" w:cs="Times New Roman"/>
                <w:kern w:val="0"/>
                <w:szCs w:val="21"/>
              </w:rPr>
              <w:t>缺少燃气锅炉的监测工况及氧含量监测结果。缺少备用燃气锅炉的监测情况。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缺少企业监测计划。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总分</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bCs/>
                <w:kern w:val="0"/>
                <w:szCs w:val="21"/>
              </w:rPr>
              <w:t>0</w:t>
            </w:r>
            <w:r>
              <w:rPr>
                <w:rFonts w:hint="eastAsia" w:ascii="Times New Roman" w:hAnsi="Times New Roman" w:eastAsia="仿宋_GB2312" w:cs="Times New Roman"/>
                <w:b/>
                <w:kern w:val="0"/>
                <w:szCs w:val="21"/>
              </w:rPr>
              <w:t>分</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b/>
                <w:bCs/>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bCs/>
                <w:kern w:val="0"/>
                <w:szCs w:val="21"/>
              </w:rPr>
            </w:pPr>
            <w:r>
              <w:rPr>
                <w:rFonts w:ascii="Times New Roman" w:hAnsi="Times New Roman" w:eastAsia="仿宋_GB2312" w:cs="Times New Roman"/>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仙居县</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浙江楠鑫电力器材股份有限公司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年产10000支水泥电杆、100万米电缆保护管“零增地”技改项目</w:t>
            </w:r>
          </w:p>
        </w:tc>
        <w:tc>
          <w:tcPr>
            <w:tcW w:w="504" w:type="pct"/>
            <w:vMerge w:val="restart"/>
            <w:shd w:val="clear" w:color="auto" w:fill="auto"/>
            <w:vAlign w:val="center"/>
          </w:tcPr>
          <w:p>
            <w:pPr>
              <w:widowControl/>
              <w:adjustRightInd w:val="0"/>
              <w:snapToGrid w:val="0"/>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验收监测报告编制机构名称：浙江楠鑫电力器材股份有限公司</w:t>
            </w:r>
          </w:p>
          <w:p>
            <w:pPr>
              <w:widowControl/>
              <w:adjustRightInd w:val="0"/>
              <w:snapToGri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验收监测单位：浙江武义经纬环境检测有限公司</w:t>
            </w: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105" w:leftChars="-50" w:right="-105" w:rightChars="-50"/>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32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（1）运营单位名称填报错误。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宋体" w:cs="Times New Roman"/>
                <w:kern w:val="0"/>
                <w:szCs w:val="21"/>
              </w:rPr>
              <w:t>（2）</w:t>
            </w:r>
            <w:r>
              <w:rPr>
                <w:rFonts w:ascii="Times New Roman" w:hAnsi="Times New Roman" w:eastAsia="仿宋_GB2312" w:cs="Times New Roman"/>
                <w:kern w:val="0"/>
                <w:szCs w:val="21"/>
              </w:rPr>
              <w:t>环境保护设施落实情况填报信息不够详细。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宋体" w:cs="Times New Roman"/>
                <w:kern w:val="0"/>
                <w:szCs w:val="21"/>
              </w:rPr>
              <w:t>（3）</w:t>
            </w:r>
            <w:r>
              <w:rPr>
                <w:rFonts w:ascii="Times New Roman" w:hAnsi="Times New Roman" w:eastAsia="仿宋_GB2312" w:cs="Times New Roman"/>
                <w:kern w:val="0"/>
                <w:szCs w:val="21"/>
              </w:rPr>
              <w:t>工程建设对项目周边环境的影响填报错误。</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（4）公示情况：公示网站需要账号才能登入。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w:t>
            </w:r>
            <w:bookmarkStart w:id="0" w:name="_GoBack"/>
            <w:bookmarkEnd w:id="0"/>
            <w:r>
              <w:rPr>
                <w:rFonts w:ascii="Times New Roman" w:hAnsi="Times New Roman" w:eastAsia="仿宋_GB2312" w:cs="Times New Roman"/>
                <w:kern w:val="0"/>
                <w:szCs w:val="21"/>
              </w:rPr>
              <w:t>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监测人员信息。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（2）雨排口未进行监测。</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（3）天然气锅炉废气氮氧化物排放浓度</w:t>
            </w:r>
            <w:r>
              <w:rPr>
                <w:rFonts w:hint="eastAsia" w:ascii="Times New Roman" w:hAnsi="Times New Roman" w:eastAsia="仿宋_GB2312" w:cs="Times New Roman"/>
                <w:kern w:val="0"/>
                <w:szCs w:val="21"/>
              </w:rPr>
              <w:t>异常</w:t>
            </w:r>
            <w:r>
              <w:rPr>
                <w:rFonts w:ascii="Times New Roman" w:hAnsi="Times New Roman" w:eastAsia="仿宋_GB2312" w:cs="Times New Roman"/>
                <w:kern w:val="0"/>
                <w:szCs w:val="21"/>
              </w:rPr>
              <w:t>。</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（4）缺少危险废物贮存符合性分析。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（5）厂界距离最近敏感点13m，且周边敏感点较多，敏感点环境空气、声环境质量均未进行监测。</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（6）验收资料证明附件未盖章。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28</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仙居县景天工艺礼品有限公司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年产900万件木制工艺品项目（先行）</w:t>
            </w:r>
          </w:p>
        </w:tc>
        <w:tc>
          <w:tcPr>
            <w:tcW w:w="504" w:type="pct"/>
            <w:vMerge w:val="restart"/>
            <w:shd w:val="clear" w:color="auto" w:fill="auto"/>
            <w:vAlign w:val="center"/>
          </w:tcPr>
          <w:p>
            <w:pPr>
              <w:widowControl/>
              <w:adjustRightInd w:val="0"/>
              <w:snapToGrid w:val="0"/>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验收监测报告编制机构名称：仙居县景天工艺礼品有限公司</w:t>
            </w:r>
          </w:p>
          <w:p>
            <w:pPr>
              <w:widowControl/>
              <w:adjustRightInd w:val="0"/>
              <w:snapToGri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验收监测单位：浙江武义经纬环境检测有限公司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厂界噪声超标，属于重大问题第三条“污染物排放不符合国家和地方相关标准、环境影响报告书（表）及其审批部门审批决定或者重点污染物排放总量控制指标要求”。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验收报告公开时间不足20个工作日。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（1）生活垃圾由环卫部门统一清运变更为个人清运。</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采样、分析人员信息。</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喷涂废气排放口及厂界臭气浓度监测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及评价。</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根据《工业涂装工序大气污染物排放标准》（DB33/2146-2018），年使用溶剂量≥20t/a的企业烘干与喷涂、晾干等废气混合处理设施的非甲烷总烃的处理效率要≥80%，根据验收报告9.3.2，企业非甲烷总烃处理效率为80%，但是根据验收报告章节9.2.3废气监测结果进行计算，监测两天的非甲烷总烃的处理效率分别为76.6%和75%。</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应急措施落实情况。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噪声超标仍通过验收。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0</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9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三门县</w:t>
            </w: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台州国广建材有限公司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年产200 万平方米PVC 地板建设项目</w:t>
            </w:r>
          </w:p>
        </w:tc>
        <w:tc>
          <w:tcPr>
            <w:tcW w:w="504" w:type="pct"/>
            <w:vMerge w:val="restart"/>
            <w:shd w:val="clear" w:color="auto" w:fill="auto"/>
            <w:vAlign w:val="center"/>
          </w:tcPr>
          <w:p>
            <w:pPr>
              <w:widowControl/>
              <w:adjustRightInd w:val="0"/>
              <w:snapToGrid w:val="0"/>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编制机构名称：台州中通检测科技有限公司</w:t>
            </w:r>
          </w:p>
          <w:p>
            <w:pPr>
              <w:widowControl/>
              <w:adjustRightInd w:val="0"/>
              <w:snapToGri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验收监测单位：浙江中通检测科技有限公司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100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项目竣工时间2019</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27</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，报告公开时间2020</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10</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14</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，竣工时间至报告公开时间超过一年，属于重大问题第一条：“竣工12个月内未完成验收”。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（1）污染物排放量未填。</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（2）报告公示结束时间2020</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11</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10</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，全国平台登记时间2021</w:t>
            </w:r>
            <w:r>
              <w:rPr>
                <w:rFonts w:hint="eastAsia" w:ascii="Times New Roman" w:hAnsi="Times New Roman" w:eastAsia="仿宋_GB2312" w:cs="Times New Roman"/>
                <w:kern w:val="0"/>
                <w:szCs w:val="21"/>
              </w:rPr>
              <w:t>年</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月</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日</w:t>
            </w:r>
            <w:r>
              <w:rPr>
                <w:rFonts w:ascii="Times New Roman" w:hAnsi="Times New Roman" w:eastAsia="仿宋_GB2312" w:cs="Times New Roman"/>
                <w:kern w:val="0"/>
                <w:szCs w:val="21"/>
              </w:rPr>
              <w:t>，未在报告公示结束5个工作日内填报全国平台。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（1）VOCs总量未统计无组织排放量。</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（2）废包装桶原厂回收，</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相关支撑材料。</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（3）缺少环境风险防范措施落实情况。</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采样分析人员信息。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缺少专业技术专家。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缺少配套措施落实情况。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center"/>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0</w:t>
            </w:r>
            <w:r>
              <w:rPr>
                <w:rFonts w:hint="eastAsia" w:ascii="Times New Roman" w:hAnsi="Times New Roman" w:eastAsia="仿宋_GB2312" w:cs="Times New Roman"/>
                <w:b/>
                <w:kern w:val="0"/>
                <w:szCs w:val="21"/>
              </w:rPr>
              <w:t>分</w:t>
            </w:r>
          </w:p>
          <w:p>
            <w:pPr>
              <w:widowControl/>
              <w:adjustRightInd w:val="0"/>
              <w:snapToGrid w:val="0"/>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w:t>
            </w:r>
            <w:r>
              <w:rPr>
                <w:rFonts w:hint="eastAsia" w:ascii="Times New Roman" w:hAnsi="Times New Roman" w:eastAsia="仿宋_GB2312" w:cs="Times New Roman"/>
                <w:b/>
                <w:kern w:val="0"/>
                <w:szCs w:val="21"/>
              </w:rPr>
              <w:t>极差</w:t>
            </w:r>
            <w:r>
              <w:rPr>
                <w:rFonts w:ascii="Times New Roman" w:hAnsi="Times New Roman" w:eastAsia="仿宋_GB2312" w:cs="Times New Roman"/>
                <w:b/>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99" w:type="pct"/>
            <w:vMerge w:val="continue"/>
            <w:shd w:val="clear" w:color="auto" w:fill="auto"/>
            <w:vAlign w:val="center"/>
          </w:tcPr>
          <w:p>
            <w:pPr>
              <w:widowControl/>
              <w:adjustRightInd w:val="0"/>
              <w:snapToGrid w:val="0"/>
              <w:jc w:val="center"/>
              <w:rPr>
                <w:rFonts w:ascii="Times New Roman" w:hAnsi="Times New Roman" w:eastAsia="仿宋_GB2312" w:cs="Times New Roman"/>
                <w:kern w:val="0"/>
                <w:szCs w:val="21"/>
              </w:rPr>
            </w:pPr>
          </w:p>
        </w:tc>
        <w:tc>
          <w:tcPr>
            <w:tcW w:w="227"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元创科技股份有限公司</w:t>
            </w:r>
          </w:p>
        </w:tc>
        <w:tc>
          <w:tcPr>
            <w:tcW w:w="458"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生产基地建设项目</w:t>
            </w:r>
          </w:p>
        </w:tc>
        <w:tc>
          <w:tcPr>
            <w:tcW w:w="504" w:type="pct"/>
            <w:vMerge w:val="restar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台州三飞检测科技有限公司</w:t>
            </w: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重大问题</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自主验收程序执行情况</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未明确竣工时间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自主验收内容评估</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（1）未明确验收范围。</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（2）变动情况分析不够详细，应按照环办环评函[2020]688号逐条分析。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验收监测/调查报告质量</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（1）投料粉尘和炼胶废气环评要求不同排气筒排放，实际合并成1根排气筒排放，不同种类污染物合并排放。</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（2）污泥环评产量7t/a，实际0.07t/a，未分析原因。</w:t>
            </w:r>
          </w:p>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缺少</w:t>
            </w:r>
            <w:r>
              <w:rPr>
                <w:rFonts w:ascii="Times New Roman" w:hAnsi="Times New Roman" w:eastAsia="仿宋_GB2312" w:cs="Times New Roman"/>
                <w:kern w:val="0"/>
                <w:szCs w:val="21"/>
              </w:rPr>
              <w:t>锅炉废气烟气黑度监测</w:t>
            </w:r>
            <w:r>
              <w:rPr>
                <w:rFonts w:hint="eastAsia" w:ascii="Times New Roman" w:hAnsi="Times New Roman" w:eastAsia="仿宋_GB2312" w:cs="Times New Roman"/>
                <w:kern w:val="0"/>
                <w:szCs w:val="21"/>
              </w:rPr>
              <w:t>结果</w:t>
            </w:r>
            <w:r>
              <w:rPr>
                <w:rFonts w:ascii="Times New Roman" w:hAnsi="Times New Roman" w:eastAsia="仿宋_GB2312" w:cs="Times New Roman"/>
                <w:kern w:val="0"/>
                <w:szCs w:val="21"/>
              </w:rPr>
              <w:t>。</w:t>
            </w:r>
          </w:p>
          <w:p>
            <w:pPr>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（4）废气污染物排放量未考虑无组织排放情况。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验收意见可行性</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ascii="Times New Roman" w:hAnsi="Times New Roman" w:eastAsia="仿宋_GB2312" w:cs="Times New Roman"/>
                <w:kern w:val="0"/>
                <w:szCs w:val="21"/>
              </w:rPr>
              <w:t>建设规模前后文不一致</w:t>
            </w:r>
            <w:r>
              <w:rPr>
                <w:rFonts w:hint="eastAsia"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ind w:left="-105" w:leftChars="-50" w:right="-105" w:rightChars="-5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其他需要说明的事项</w:t>
            </w:r>
          </w:p>
        </w:tc>
        <w:tc>
          <w:tcPr>
            <w:tcW w:w="367" w:type="pct"/>
            <w:shd w:val="clear" w:color="auto" w:fill="auto"/>
            <w:vAlign w:val="center"/>
          </w:tcPr>
          <w:p>
            <w:pPr>
              <w:widowControl/>
              <w:adjustRightInd w:val="0"/>
              <w:snapToGri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2326" w:type="pct"/>
            <w:shd w:val="clear" w:color="auto" w:fill="auto"/>
            <w:vAlign w:val="center"/>
          </w:tcPr>
          <w:p>
            <w:pPr>
              <w:widowControl/>
              <w:adjustRightInd w:val="0"/>
              <w:snapToGrid w:val="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199" w:type="pct"/>
            <w:vMerge w:val="continue"/>
            <w:shd w:val="clear" w:color="auto" w:fill="auto"/>
            <w:vAlign w:val="center"/>
          </w:tcPr>
          <w:p>
            <w:pPr>
              <w:widowControl/>
              <w:adjustRightInd w:val="0"/>
              <w:snapToGrid w:val="0"/>
              <w:rPr>
                <w:rFonts w:ascii="Times New Roman" w:hAnsi="Times New Roman" w:eastAsia="仿宋_GB2312" w:cs="Times New Roman"/>
                <w:kern w:val="0"/>
                <w:szCs w:val="21"/>
              </w:rPr>
            </w:pPr>
          </w:p>
        </w:tc>
        <w:tc>
          <w:tcPr>
            <w:tcW w:w="227"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458"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504" w:type="pct"/>
            <w:vMerge w:val="continue"/>
            <w:vAlign w:val="center"/>
          </w:tcPr>
          <w:p>
            <w:pPr>
              <w:widowControl/>
              <w:adjustRightInd w:val="0"/>
              <w:snapToGrid w:val="0"/>
              <w:jc w:val="left"/>
              <w:rPr>
                <w:rFonts w:ascii="Times New Roman" w:hAnsi="Times New Roman" w:eastAsia="仿宋_GB2312" w:cs="Times New Roman"/>
                <w:kern w:val="0"/>
                <w:szCs w:val="21"/>
              </w:rPr>
            </w:pPr>
          </w:p>
        </w:tc>
        <w:tc>
          <w:tcPr>
            <w:tcW w:w="734" w:type="pct"/>
            <w:shd w:val="clear" w:color="auto" w:fill="auto"/>
            <w:vAlign w:val="center"/>
          </w:tcPr>
          <w:p>
            <w:pPr>
              <w:widowControl/>
              <w:adjustRightInd w:val="0"/>
              <w:snapToGrid w:val="0"/>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总分</w:t>
            </w:r>
          </w:p>
        </w:tc>
        <w:tc>
          <w:tcPr>
            <w:tcW w:w="367" w:type="pct"/>
            <w:shd w:val="clear" w:color="auto" w:fill="auto"/>
            <w:vAlign w:val="center"/>
          </w:tcPr>
          <w:p>
            <w:pPr>
              <w:widowControl/>
              <w:adjustRightInd w:val="0"/>
              <w:snapToGrid w:val="0"/>
              <w:jc w:val="center"/>
              <w:rPr>
                <w:rFonts w:hint="eastAsia" w:ascii="Times New Roman" w:hAnsi="Times New Roman" w:eastAsia="仿宋_GB2312" w:cs="Times New Roman"/>
                <w:b/>
                <w:kern w:val="0"/>
                <w:szCs w:val="21"/>
              </w:rPr>
            </w:pPr>
            <w:r>
              <w:rPr>
                <w:rFonts w:hint="eastAsia" w:ascii="Times New Roman" w:hAnsi="Times New Roman" w:eastAsia="仿宋_GB2312" w:cs="Times New Roman"/>
                <w:b/>
                <w:kern w:val="0"/>
                <w:szCs w:val="21"/>
              </w:rPr>
              <w:t>60分</w:t>
            </w:r>
          </w:p>
          <w:p>
            <w:pPr>
              <w:widowControl/>
              <w:adjustRightInd w:val="0"/>
              <w:snapToGrid w:val="0"/>
              <w:jc w:val="center"/>
              <w:rPr>
                <w:rFonts w:ascii="Times New Roman" w:hAnsi="Times New Roman" w:eastAsia="仿宋_GB2312" w:cs="Times New Roman"/>
                <w:b/>
                <w:kern w:val="0"/>
                <w:szCs w:val="21"/>
              </w:rPr>
            </w:pPr>
            <w:r>
              <w:rPr>
                <w:rFonts w:hint="eastAsia" w:ascii="Times New Roman" w:hAnsi="Times New Roman" w:eastAsia="仿宋_GB2312" w:cs="Times New Roman"/>
                <w:b/>
                <w:kern w:val="0"/>
                <w:szCs w:val="21"/>
              </w:rPr>
              <w:t>（一般</w:t>
            </w:r>
          </w:p>
        </w:tc>
        <w:tc>
          <w:tcPr>
            <w:tcW w:w="2326" w:type="pct"/>
            <w:shd w:val="clear" w:color="auto" w:fill="auto"/>
            <w:vAlign w:val="center"/>
          </w:tcPr>
          <w:p>
            <w:pPr>
              <w:widowControl/>
              <w:adjustRightInd w:val="0"/>
              <w:snapToGrid w:val="0"/>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w:t>
            </w:r>
          </w:p>
        </w:tc>
      </w:tr>
    </w:tbl>
    <w:p>
      <w:pPr>
        <w:rPr>
          <w:rFonts w:ascii="Times New Roman" w:hAnsi="Times New Roman" w:eastAsia="仿宋_GB2312" w:cs="Times New Roman"/>
          <w:szCs w:val="21"/>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DA"/>
    <w:rsid w:val="00192122"/>
    <w:rsid w:val="00312594"/>
    <w:rsid w:val="00426888"/>
    <w:rsid w:val="004C26A0"/>
    <w:rsid w:val="004D4A19"/>
    <w:rsid w:val="00762CDA"/>
    <w:rsid w:val="00C452B8"/>
    <w:rsid w:val="00F123B5"/>
    <w:rsid w:val="00F67E28"/>
    <w:rsid w:val="31DD626E"/>
    <w:rsid w:val="3FDEC895"/>
    <w:rsid w:val="578AA15D"/>
    <w:rsid w:val="699CAF92"/>
    <w:rsid w:val="77F39FC6"/>
    <w:rsid w:val="7BF77DA3"/>
    <w:rsid w:val="7ED3A2B4"/>
    <w:rsid w:val="BBFB1382"/>
    <w:rsid w:val="D7DE02D9"/>
    <w:rsid w:val="FCD4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font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7">
    <w:name w:val="font1"/>
    <w:basedOn w:val="1"/>
    <w:qFormat/>
    <w:uiPriority w:val="0"/>
    <w:pPr>
      <w:widowControl/>
      <w:spacing w:before="100" w:beforeAutospacing="1" w:after="100" w:afterAutospacing="1"/>
      <w:jc w:val="left"/>
    </w:pPr>
    <w:rPr>
      <w:rFonts w:ascii="仿宋_GB2312" w:hAnsi="宋体" w:eastAsia="仿宋_GB2312" w:cs="宋体"/>
      <w:color w:val="000000"/>
      <w:kern w:val="0"/>
      <w:szCs w:val="21"/>
    </w:rPr>
  </w:style>
  <w:style w:type="paragraph" w:customStyle="1" w:styleId="8">
    <w:name w:val="font2"/>
    <w:basedOn w:val="1"/>
    <w:qFormat/>
    <w:uiPriority w:val="0"/>
    <w:pPr>
      <w:widowControl/>
      <w:spacing w:before="100" w:beforeAutospacing="1" w:after="100" w:afterAutospacing="1"/>
      <w:jc w:val="left"/>
    </w:pPr>
    <w:rPr>
      <w:rFonts w:ascii="仿宋_GB2312" w:hAnsi="宋体" w:eastAsia="仿宋_GB2312" w:cs="宋体"/>
      <w:color w:val="000000"/>
      <w:kern w:val="0"/>
      <w:szCs w:val="21"/>
    </w:rPr>
  </w:style>
  <w:style w:type="paragraph" w:customStyle="1" w:styleId="9">
    <w:name w:val="font3"/>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0">
    <w:name w:val="font4"/>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2">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13">
    <w:name w:val="font7"/>
    <w:basedOn w:val="1"/>
    <w:qFormat/>
    <w:uiPriority w:val="0"/>
    <w:pPr>
      <w:widowControl/>
      <w:spacing w:before="100" w:beforeAutospacing="1" w:after="100" w:afterAutospacing="1"/>
      <w:jc w:val="left"/>
    </w:pPr>
    <w:rPr>
      <w:rFonts w:ascii="Times New Roman" w:hAnsi="Times New Roman" w:eastAsia="宋体" w:cs="Times New Roman"/>
      <w:color w:val="FF0000"/>
      <w:kern w:val="0"/>
      <w:szCs w:val="21"/>
    </w:rPr>
  </w:style>
  <w:style w:type="paragraph" w:customStyle="1" w:styleId="14">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15">
    <w:name w:val="font9"/>
    <w:basedOn w:val="1"/>
    <w:qFormat/>
    <w:uiPriority w:val="0"/>
    <w:pPr>
      <w:widowControl/>
      <w:spacing w:before="100" w:beforeAutospacing="1" w:after="100" w:afterAutospacing="1"/>
      <w:jc w:val="left"/>
    </w:pPr>
    <w:rPr>
      <w:rFonts w:ascii="仿宋_GB2312" w:hAnsi="宋体" w:eastAsia="仿宋_GB2312" w:cs="宋体"/>
      <w:b/>
      <w:bCs/>
      <w:color w:val="000000"/>
      <w:kern w:val="0"/>
      <w:szCs w:val="21"/>
    </w:rPr>
  </w:style>
  <w:style w:type="paragraph" w:customStyle="1" w:styleId="16">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7">
    <w:name w:val="font11"/>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Cs w:val="21"/>
    </w:rPr>
  </w:style>
  <w:style w:type="paragraph" w:customStyle="1" w:styleId="18">
    <w:name w:val="et2"/>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9">
    <w:name w:val="et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
    <w:name w:val="et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21">
    <w:name w:val="et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eastAsia="宋体" w:cs="宋体"/>
      <w:color w:val="000000"/>
      <w:kern w:val="0"/>
      <w:szCs w:val="21"/>
    </w:rPr>
  </w:style>
  <w:style w:type="paragraph" w:customStyle="1" w:styleId="22">
    <w:name w:val="et6"/>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3">
    <w:name w:val="et7"/>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24">
    <w:name w:val="et8"/>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eastAsia="宋体" w:cs="Times New Roman"/>
      <w:color w:val="000000"/>
      <w:kern w:val="0"/>
      <w:szCs w:val="21"/>
    </w:rPr>
  </w:style>
  <w:style w:type="paragraph" w:customStyle="1" w:styleId="25">
    <w:name w:val="et9"/>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26">
    <w:name w:val="et10"/>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27">
    <w:name w:val="et11"/>
    <w:basedOn w:val="1"/>
    <w:qFormat/>
    <w:uiPriority w:val="0"/>
    <w:pPr>
      <w:widowControl/>
      <w:pBdr>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28">
    <w:name w:val="et12"/>
    <w:basedOn w:val="1"/>
    <w:qFormat/>
    <w:uiPriority w:val="0"/>
    <w:pPr>
      <w:widowControl/>
      <w:pBdr>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29">
    <w:name w:val="et13"/>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eastAsia="宋体" w:cs="Times New Roman"/>
      <w:kern w:val="0"/>
      <w:szCs w:val="21"/>
    </w:rPr>
  </w:style>
  <w:style w:type="paragraph" w:customStyle="1" w:styleId="30">
    <w:name w:val="et14"/>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eastAsia="宋体" w:cs="Times New Roman"/>
      <w:color w:val="FF0000"/>
      <w:kern w:val="0"/>
      <w:szCs w:val="21"/>
    </w:rPr>
  </w:style>
  <w:style w:type="paragraph" w:customStyle="1" w:styleId="31">
    <w:name w:val="et15"/>
    <w:basedOn w:val="1"/>
    <w:qFormat/>
    <w:uiPriority w:val="0"/>
    <w:pPr>
      <w:widowControl/>
      <w:pBdr>
        <w:right w:val="single" w:color="000000" w:sz="8" w:space="0"/>
      </w:pBdr>
      <w:spacing w:before="100" w:beforeAutospacing="1" w:after="100" w:afterAutospacing="1"/>
    </w:pPr>
    <w:rPr>
      <w:rFonts w:ascii="宋体" w:hAnsi="宋体" w:eastAsia="宋体" w:cs="宋体"/>
      <w:color w:val="000000"/>
      <w:kern w:val="0"/>
      <w:szCs w:val="21"/>
    </w:rPr>
  </w:style>
  <w:style w:type="paragraph" w:customStyle="1" w:styleId="32">
    <w:name w:val="et16"/>
    <w:basedOn w:val="1"/>
    <w:qFormat/>
    <w:uiPriority w:val="0"/>
    <w:pPr>
      <w:widowControl/>
      <w:pBdr>
        <w:bottom w:val="single" w:color="000000" w:sz="8" w:space="0"/>
        <w:right w:val="single" w:color="000000" w:sz="8" w:space="0"/>
      </w:pBdr>
      <w:spacing w:before="100" w:beforeAutospacing="1" w:after="100" w:afterAutospacing="1"/>
    </w:pPr>
    <w:rPr>
      <w:rFonts w:ascii="宋体" w:hAnsi="宋体" w:eastAsia="宋体" w:cs="宋体"/>
      <w:color w:val="000000"/>
      <w:kern w:val="0"/>
      <w:szCs w:val="21"/>
    </w:rPr>
  </w:style>
  <w:style w:type="paragraph" w:customStyle="1" w:styleId="33">
    <w:name w:val="et1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34">
    <w:name w:val="et1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35">
    <w:name w:val="et19"/>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kern w:val="0"/>
      <w:sz w:val="24"/>
      <w:szCs w:val="24"/>
    </w:rPr>
  </w:style>
  <w:style w:type="paragraph" w:customStyle="1" w:styleId="36">
    <w:name w:val="et20"/>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b/>
      <w:bCs/>
      <w:color w:val="000000"/>
      <w:kern w:val="0"/>
      <w:szCs w:val="21"/>
    </w:rPr>
  </w:style>
  <w:style w:type="paragraph" w:customStyle="1" w:styleId="37">
    <w:name w:val="et21"/>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eastAsia="宋体" w:cs="Times New Roman"/>
      <w:b/>
      <w:bCs/>
      <w:color w:val="000000"/>
      <w:kern w:val="0"/>
      <w:szCs w:val="21"/>
    </w:rPr>
  </w:style>
  <w:style w:type="paragraph" w:customStyle="1" w:styleId="38">
    <w:name w:val="et22"/>
    <w:basedOn w:val="1"/>
    <w:qFormat/>
    <w:uiPriority w:val="0"/>
    <w:pPr>
      <w:widowControl/>
      <w:pBdr>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39">
    <w:name w:val="et23"/>
    <w:basedOn w:val="1"/>
    <w:qFormat/>
    <w:uiPriority w:val="0"/>
    <w:pPr>
      <w:widowControl/>
      <w:pBdr>
        <w:bottom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40">
    <w:name w:val="et24"/>
    <w:basedOn w:val="1"/>
    <w:qFormat/>
    <w:uiPriority w:val="0"/>
    <w:pPr>
      <w:widowControl/>
      <w:pBdr>
        <w:top w:val="single" w:color="000000" w:sz="8" w:space="0"/>
        <w:bottom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41">
    <w:name w:val="et25"/>
    <w:basedOn w:val="1"/>
    <w:qFormat/>
    <w:uiPriority w:val="0"/>
    <w:pPr>
      <w:widowControl/>
      <w:pBdr>
        <w:top w:val="single" w:color="000000" w:sz="8" w:space="0"/>
        <w:bottom w:val="single" w:color="000000" w:sz="8" w:space="0"/>
        <w:right w:val="single" w:color="000000" w:sz="8" w:space="0"/>
      </w:pBdr>
      <w:spacing w:before="100" w:beforeAutospacing="1" w:after="100" w:afterAutospacing="1"/>
    </w:pPr>
    <w:rPr>
      <w:rFonts w:ascii="Times New Roman" w:hAnsi="Times New Roman" w:eastAsia="宋体" w:cs="Times New Roman"/>
      <w:color w:val="000000"/>
      <w:kern w:val="0"/>
      <w:szCs w:val="21"/>
    </w:rPr>
  </w:style>
  <w:style w:type="character" w:customStyle="1" w:styleId="42">
    <w:name w:val="font41"/>
    <w:basedOn w:val="5"/>
    <w:qFormat/>
    <w:uiPriority w:val="0"/>
    <w:rPr>
      <w:rFonts w:hint="default" w:ascii="Times New Roman" w:hAnsi="Times New Roman" w:cs="Times New Roman"/>
      <w:color w:val="000000"/>
      <w:sz w:val="21"/>
      <w:szCs w:val="21"/>
      <w:u w:val="none"/>
    </w:rPr>
  </w:style>
  <w:style w:type="character" w:customStyle="1" w:styleId="43">
    <w:name w:val="font21"/>
    <w:basedOn w:val="5"/>
    <w:qFormat/>
    <w:uiPriority w:val="0"/>
    <w:rPr>
      <w:rFonts w:hint="eastAsia" w:ascii="仿宋_GB2312" w:eastAsia="仿宋_GB2312"/>
      <w:color w:val="000000"/>
      <w:sz w:val="21"/>
      <w:szCs w:val="21"/>
      <w:u w:val="none"/>
    </w:rPr>
  </w:style>
  <w:style w:type="character" w:customStyle="1" w:styleId="44">
    <w:name w:val="font61"/>
    <w:basedOn w:val="5"/>
    <w:qFormat/>
    <w:uiPriority w:val="0"/>
    <w:rPr>
      <w:rFonts w:hint="default" w:ascii="Times New Roman" w:hAnsi="Times New Roman" w:cs="Times New Roman"/>
      <w:color w:val="000000"/>
      <w:sz w:val="21"/>
      <w:szCs w:val="21"/>
      <w:u w:val="none"/>
    </w:rPr>
  </w:style>
  <w:style w:type="character" w:customStyle="1" w:styleId="45">
    <w:name w:val="font12"/>
    <w:basedOn w:val="5"/>
    <w:qFormat/>
    <w:uiPriority w:val="0"/>
    <w:rPr>
      <w:rFonts w:hint="eastAsia" w:ascii="仿宋_GB2312" w:eastAsia="仿宋_GB2312"/>
      <w:color w:val="000000"/>
      <w:sz w:val="21"/>
      <w:szCs w:val="21"/>
      <w:u w:val="none"/>
    </w:rPr>
  </w:style>
  <w:style w:type="character" w:customStyle="1" w:styleId="46">
    <w:name w:val="font101"/>
    <w:basedOn w:val="5"/>
    <w:qFormat/>
    <w:uiPriority w:val="0"/>
    <w:rPr>
      <w:rFonts w:hint="default" w:ascii="Times New Roman" w:hAnsi="Times New Roman" w:cs="Times New Roman"/>
      <w:color w:val="000000"/>
      <w:sz w:val="24"/>
      <w:szCs w:val="24"/>
      <w:u w:val="none"/>
    </w:rPr>
  </w:style>
  <w:style w:type="character" w:customStyle="1" w:styleId="47">
    <w:name w:val="font81"/>
    <w:basedOn w:val="5"/>
    <w:qFormat/>
    <w:uiPriority w:val="0"/>
    <w:rPr>
      <w:rFonts w:hint="eastAsia" w:ascii="仿宋_GB2312" w:eastAsia="仿宋_GB2312"/>
      <w:color w:val="000000"/>
      <w:sz w:val="24"/>
      <w:szCs w:val="24"/>
      <w:u w:val="none"/>
    </w:rPr>
  </w:style>
  <w:style w:type="character" w:customStyle="1" w:styleId="48">
    <w:name w:val="font31"/>
    <w:basedOn w:val="5"/>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1816</Words>
  <Characters>10354</Characters>
  <Lines>86</Lines>
  <Paragraphs>24</Paragraphs>
  <TotalTime>11</TotalTime>
  <ScaleCrop>false</ScaleCrop>
  <LinksUpToDate>false</LinksUpToDate>
  <CharactersWithSpaces>12146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2022-03-31T03:18:00Z</dcterms:created>
  <dc:creator>User</dc:creator>
  <cp:lastModifiedBy>tzhb</cp:lastModifiedBy>
  <dcterms:modified xsi:type="dcterms:W3CDTF">2022-04-08T09:36:33Z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