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color w:val="auto"/>
          <w:sz w:val="32"/>
          <w:szCs w:val="32"/>
          <w:lang w:eastAsia="zh-CN"/>
        </w:rPr>
      </w:pPr>
      <w:bookmarkStart w:id="0" w:name="_GoBack"/>
      <w:r>
        <w:rPr>
          <w:rFonts w:ascii="Times New Roman" w:hAnsi="Times New Roman" w:eastAsia="仿宋_GB2312" w:cs="Times New Roman"/>
          <w:color w:val="auto"/>
          <w:sz w:val="32"/>
          <w:szCs w:val="32"/>
        </w:rPr>
        <w:t>附件2：台州市非省统调公用燃煤热电联产发电机组环保设施</w:t>
      </w:r>
      <w:r>
        <w:rPr>
          <w:rFonts w:hint="eastAsia" w:ascii="Times New Roman" w:hAnsi="Times New Roman" w:eastAsia="仿宋_GB2312" w:cs="Times New Roman"/>
          <w:color w:val="auto"/>
          <w:sz w:val="32"/>
          <w:szCs w:val="32"/>
          <w:lang w:eastAsia="zh-CN"/>
        </w:rPr>
        <w:t>2021年二季度</w:t>
      </w:r>
    </w:p>
    <w:p>
      <w:pPr>
        <w:spacing w:after="0"/>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超低排放设施运行情况考核结果</w:t>
      </w:r>
    </w:p>
    <w:bookmarkEnd w:id="0"/>
    <w:tbl>
      <w:tblPr>
        <w:tblStyle w:val="2"/>
        <w:tblW w:w="5000" w:type="pct"/>
        <w:jc w:val="center"/>
        <w:tblLayout w:type="autofit"/>
        <w:tblCellMar>
          <w:top w:w="0" w:type="dxa"/>
          <w:left w:w="108" w:type="dxa"/>
          <w:bottom w:w="0" w:type="dxa"/>
          <w:right w:w="108" w:type="dxa"/>
        </w:tblCellMar>
      </w:tblPr>
      <w:tblGrid>
        <w:gridCol w:w="453"/>
        <w:gridCol w:w="1365"/>
        <w:gridCol w:w="911"/>
        <w:gridCol w:w="1075"/>
        <w:gridCol w:w="911"/>
        <w:gridCol w:w="1316"/>
        <w:gridCol w:w="1453"/>
        <w:gridCol w:w="1186"/>
        <w:gridCol w:w="5504"/>
      </w:tblGrid>
      <w:tr>
        <w:tblPrEx>
          <w:tblCellMar>
            <w:top w:w="0" w:type="dxa"/>
            <w:left w:w="108" w:type="dxa"/>
            <w:bottom w:w="0" w:type="dxa"/>
            <w:right w:w="108" w:type="dxa"/>
          </w:tblCellMar>
        </w:tblPrEx>
        <w:trPr>
          <w:trHeight w:val="877" w:hRule="atLeast"/>
          <w:jc w:val="center"/>
        </w:trPr>
        <w:tc>
          <w:tcPr>
            <w:tcW w:w="160"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序号</w:t>
            </w:r>
          </w:p>
        </w:tc>
        <w:tc>
          <w:tcPr>
            <w:tcW w:w="48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企业名称</w:t>
            </w:r>
          </w:p>
        </w:tc>
        <w:tc>
          <w:tcPr>
            <w:tcW w:w="32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机组编号</w:t>
            </w:r>
          </w:p>
        </w:tc>
        <w:tc>
          <w:tcPr>
            <w:tcW w:w="379"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装机容量（MW）</w:t>
            </w:r>
          </w:p>
        </w:tc>
        <w:tc>
          <w:tcPr>
            <w:tcW w:w="32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季度</w:t>
            </w:r>
          </w:p>
        </w:tc>
        <w:tc>
          <w:tcPr>
            <w:tcW w:w="464"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机组运行时间（小时）</w:t>
            </w:r>
          </w:p>
        </w:tc>
        <w:tc>
          <w:tcPr>
            <w:tcW w:w="512" w:type="pct"/>
            <w:tcBorders>
              <w:top w:val="single" w:color="auto" w:sz="4" w:space="0"/>
              <w:left w:val="nil"/>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达到超低排放限值要求时间（小时）</w:t>
            </w:r>
          </w:p>
        </w:tc>
        <w:tc>
          <w:tcPr>
            <w:tcW w:w="418" w:type="pct"/>
            <w:tcBorders>
              <w:top w:val="single" w:color="auto" w:sz="4" w:space="0"/>
              <w:left w:val="nil"/>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达限率（%）</w:t>
            </w:r>
          </w:p>
        </w:tc>
        <w:tc>
          <w:tcPr>
            <w:tcW w:w="1940"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0000FF"/>
              </w:rPr>
            </w:pPr>
            <w:r>
              <w:rPr>
                <w:rFonts w:ascii="Times New Roman" w:hAnsi="Times New Roman" w:eastAsia="仿宋_GB2312" w:cs="Times New Roman"/>
                <w:color w:val="auto"/>
              </w:rPr>
              <w:t>备注</w:t>
            </w:r>
          </w:p>
        </w:tc>
      </w:tr>
      <w:tr>
        <w:tblPrEx>
          <w:tblCellMar>
            <w:top w:w="0" w:type="dxa"/>
            <w:left w:w="108" w:type="dxa"/>
            <w:bottom w:w="0" w:type="dxa"/>
            <w:right w:w="108" w:type="dxa"/>
          </w:tblCellMar>
        </w:tblPrEx>
        <w:trPr>
          <w:trHeight w:val="721" w:hRule="atLeast"/>
          <w:jc w:val="center"/>
        </w:trPr>
        <w:tc>
          <w:tcPr>
            <w:tcW w:w="160" w:type="pct"/>
            <w:tcBorders>
              <w:top w:val="single" w:color="auto" w:sz="4" w:space="0"/>
              <w:left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1</w:t>
            </w:r>
          </w:p>
        </w:tc>
        <w:tc>
          <w:tcPr>
            <w:tcW w:w="481"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台州市椒江热电有限公司</w:t>
            </w: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5号</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25</w:t>
            </w: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二季度</w:t>
            </w:r>
          </w:p>
        </w:tc>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2180</w:t>
            </w:r>
          </w:p>
        </w:tc>
        <w:tc>
          <w:tcPr>
            <w:tcW w:w="51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val="en-US" w:eastAsia="zh-CN"/>
              </w:rPr>
              <w:t>2180</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100</w:t>
            </w:r>
            <w:r>
              <w:rPr>
                <w:rFonts w:hint="eastAsia" w:ascii="Times New Roman" w:hAnsi="Times New Roman" w:eastAsia="仿宋_GB2312" w:cs="Times New Roman"/>
                <w:color w:val="auto"/>
              </w:rPr>
              <w:t>%</w:t>
            </w:r>
          </w:p>
        </w:tc>
        <w:tc>
          <w:tcPr>
            <w:tcW w:w="1940" w:type="pct"/>
            <w:tcBorders>
              <w:top w:val="single" w:color="auto" w:sz="4" w:space="0"/>
              <w:left w:val="single" w:color="auto" w:sz="4" w:space="0"/>
              <w:right w:val="single" w:color="auto" w:sz="4" w:space="0"/>
            </w:tcBorders>
            <w:vAlign w:val="center"/>
          </w:tcPr>
          <w:p>
            <w:pPr>
              <w:numPr>
                <w:ilvl w:val="0"/>
                <w:numId w:val="1"/>
              </w:numPr>
              <w:spacing w:after="120"/>
              <w:rPr>
                <w:rFonts w:hint="eastAsia" w:ascii="Times New Roman" w:hAnsi="Times New Roman" w:eastAsia="仿宋_GB2312" w:cs="Times New Roman"/>
                <w:color w:val="auto"/>
              </w:rPr>
            </w:pPr>
            <w:r>
              <w:rPr>
                <w:rFonts w:hint="eastAsia" w:ascii="Times New Roman" w:hAnsi="Times New Roman" w:eastAsia="仿宋_GB2312" w:cs="Times New Roman"/>
                <w:color w:val="auto"/>
                <w:lang w:eastAsia="zh-CN"/>
              </w:rPr>
              <w:t>二季度</w:t>
            </w:r>
            <w:r>
              <w:rPr>
                <w:rFonts w:hint="eastAsia" w:ascii="Times New Roman" w:hAnsi="Times New Roman" w:eastAsia="仿宋_GB2312" w:cs="Times New Roman"/>
                <w:color w:val="auto"/>
              </w:rPr>
              <w:t>一共有</w:t>
            </w:r>
            <w:r>
              <w:rPr>
                <w:rFonts w:hint="eastAsia" w:ascii="Times New Roman" w:hAnsi="Times New Roman" w:eastAsia="仿宋_GB2312" w:cs="Times New Roman"/>
                <w:color w:val="auto"/>
                <w:lang w:val="en-US" w:eastAsia="zh-CN"/>
              </w:rPr>
              <w:t>13</w:t>
            </w:r>
            <w:r>
              <w:rPr>
                <w:rFonts w:hint="eastAsia" w:ascii="Times New Roman" w:hAnsi="Times New Roman" w:eastAsia="仿宋_GB2312" w:cs="Times New Roman"/>
                <w:color w:val="auto"/>
              </w:rPr>
              <w:t>次环保设施运维仪表标定。</w:t>
            </w:r>
          </w:p>
        </w:tc>
      </w:tr>
      <w:tr>
        <w:tblPrEx>
          <w:tblCellMar>
            <w:top w:w="0" w:type="dxa"/>
            <w:left w:w="108" w:type="dxa"/>
            <w:bottom w:w="0" w:type="dxa"/>
            <w:right w:w="108" w:type="dxa"/>
          </w:tblCellMar>
        </w:tblPrEx>
        <w:trPr>
          <w:trHeight w:val="1601" w:hRule="atLeast"/>
          <w:jc w:val="center"/>
        </w:trPr>
        <w:tc>
          <w:tcPr>
            <w:tcW w:w="160" w:type="pct"/>
            <w:vMerge w:val="restart"/>
            <w:tcBorders>
              <w:top w:val="single" w:color="auto" w:sz="4" w:space="0"/>
              <w:left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2</w:t>
            </w:r>
          </w:p>
        </w:tc>
        <w:tc>
          <w:tcPr>
            <w:tcW w:w="481" w:type="pct"/>
            <w:vMerge w:val="restart"/>
            <w:tcBorders>
              <w:top w:val="single" w:color="auto" w:sz="4" w:space="0"/>
              <w:left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台州临港热电有限公司</w:t>
            </w: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1号</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15</w:t>
            </w: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二季度</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rPr>
            </w:pPr>
            <w:r>
              <w:rPr>
                <w:rFonts w:hint="eastAsia" w:ascii="Times New Roman" w:hAnsi="Times New Roman" w:eastAsia="仿宋_GB2312" w:cs="Times New Roman"/>
                <w:color w:val="auto"/>
                <w:lang w:val="en-US" w:eastAsia="zh-CN"/>
              </w:rPr>
              <w:t>538.8</w:t>
            </w:r>
          </w:p>
        </w:tc>
        <w:tc>
          <w:tcPr>
            <w:tcW w:w="1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rPr>
            </w:pPr>
            <w:r>
              <w:rPr>
                <w:rFonts w:hint="eastAsia" w:ascii="Times New Roman" w:hAnsi="Times New Roman" w:eastAsia="仿宋_GB2312" w:cs="Times New Roman"/>
                <w:color w:val="auto"/>
                <w:lang w:val="en-US" w:eastAsia="zh-CN"/>
              </w:rPr>
              <w:t>538.8</w:t>
            </w:r>
          </w:p>
        </w:tc>
        <w:tc>
          <w:tcPr>
            <w:tcW w:w="11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rPr>
            </w:pPr>
            <w:r>
              <w:rPr>
                <w:rFonts w:hint="eastAsia" w:ascii="Times New Roman" w:hAnsi="Times New Roman" w:eastAsia="仿宋_GB2312" w:cs="Times New Roman"/>
                <w:color w:val="auto"/>
                <w:lang w:val="en-US" w:eastAsia="zh-CN"/>
              </w:rPr>
              <w:t>100</w:t>
            </w:r>
            <w:r>
              <w:rPr>
                <w:rFonts w:hint="eastAsia" w:ascii="Times New Roman" w:hAnsi="Times New Roman" w:eastAsia="仿宋_GB2312" w:cs="Times New Roman"/>
                <w:color w:val="auto"/>
              </w:rPr>
              <w:t>%</w:t>
            </w:r>
          </w:p>
        </w:tc>
        <w:tc>
          <w:tcPr>
            <w:tcW w:w="1940" w:type="pct"/>
            <w:vMerge w:val="restart"/>
            <w:tcBorders>
              <w:top w:val="single" w:color="auto" w:sz="4" w:space="0"/>
              <w:left w:val="single" w:color="auto" w:sz="4" w:space="0"/>
              <w:right w:val="single" w:color="auto" w:sz="4" w:space="0"/>
            </w:tcBorders>
            <w:vAlign w:val="center"/>
          </w:tcPr>
          <w:p>
            <w:pPr>
              <w:numPr>
                <w:ilvl w:val="0"/>
                <w:numId w:val="2"/>
              </w:numPr>
              <w:spacing w:after="0"/>
              <w:jc w:val="both"/>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eastAsia="zh-CN"/>
              </w:rPr>
              <w:t>二季度</w:t>
            </w:r>
            <w:r>
              <w:rPr>
                <w:rFonts w:hint="eastAsia" w:ascii="Times New Roman" w:hAnsi="Times New Roman" w:eastAsia="仿宋_GB2312" w:cs="Times New Roman"/>
                <w:color w:val="auto"/>
              </w:rPr>
              <w:t>一共有1</w:t>
            </w:r>
            <w:r>
              <w:rPr>
                <w:rFonts w:hint="eastAsia" w:ascii="Times New Roman" w:hAnsi="Times New Roman" w:eastAsia="仿宋_GB2312" w:cs="Times New Roman"/>
                <w:color w:val="auto"/>
                <w:lang w:val="en-US" w:eastAsia="zh-CN"/>
              </w:rPr>
              <w:t>3</w:t>
            </w:r>
            <w:r>
              <w:rPr>
                <w:rFonts w:hint="eastAsia" w:ascii="Times New Roman" w:hAnsi="Times New Roman" w:eastAsia="仿宋_GB2312" w:cs="Times New Roman"/>
                <w:color w:val="auto"/>
              </w:rPr>
              <w:t>次环保设施运维仪表标定。</w:t>
            </w:r>
            <w:r>
              <w:rPr>
                <w:rFonts w:hint="eastAsia" w:ascii="Times New Roman" w:hAnsi="Times New Roman" w:eastAsia="仿宋_GB2312" w:cs="Times New Roman"/>
                <w:color w:val="auto"/>
                <w:lang w:val="en-US" w:eastAsia="zh-CN"/>
              </w:rPr>
              <w:t>4</w:t>
            </w:r>
            <w:r>
              <w:rPr>
                <w:rFonts w:hint="eastAsia" w:ascii="Times New Roman" w:hAnsi="Times New Roman" w:eastAsia="仿宋_GB2312" w:cs="Times New Roman"/>
                <w:color w:val="auto"/>
              </w:rPr>
              <w:t>月</w:t>
            </w:r>
            <w:r>
              <w:rPr>
                <w:rFonts w:hint="eastAsia" w:ascii="Times New Roman" w:hAnsi="Times New Roman" w:eastAsia="仿宋_GB2312" w:cs="Times New Roman"/>
                <w:color w:val="auto"/>
                <w:lang w:val="en-US" w:eastAsia="zh-CN"/>
              </w:rPr>
              <w:t>20</w:t>
            </w:r>
            <w:r>
              <w:rPr>
                <w:rFonts w:hint="eastAsia" w:ascii="Times New Roman" w:hAnsi="Times New Roman" w:eastAsia="仿宋_GB2312" w:cs="Times New Roman"/>
                <w:color w:val="auto"/>
              </w:rPr>
              <w:t>日</w:t>
            </w:r>
            <w:r>
              <w:rPr>
                <w:rFonts w:hint="eastAsia" w:ascii="Times New Roman" w:hAnsi="Times New Roman" w:eastAsia="仿宋_GB2312" w:cs="Times New Roman"/>
                <w:color w:val="auto"/>
                <w:lang w:val="en-US" w:eastAsia="zh-CN"/>
              </w:rPr>
              <w:t>因运维通标气，12时SO2超限1小时，13时SO2、NOx超限1小时；6月4日15时因运维通标气，SO2、NOx超限1小时。</w:t>
            </w:r>
          </w:p>
          <w:p>
            <w:pPr>
              <w:numPr>
                <w:ilvl w:val="0"/>
                <w:numId w:val="2"/>
              </w:numPr>
              <w:spacing w:after="0"/>
              <w:jc w:val="both"/>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2号机组：4月3日19时到4月4日12时，因企业停电，恢复供电后数采仪重启失败，导致CEMS数据缺失18小时。</w:t>
            </w:r>
          </w:p>
          <w:p>
            <w:pPr>
              <w:numPr>
                <w:ilvl w:val="0"/>
                <w:numId w:val="2"/>
              </w:numPr>
              <w:spacing w:after="0"/>
              <w:jc w:val="both"/>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2号机组：5月11日1时，因外网波动厂用电中断，重启导致SO2超限1小时。</w:t>
            </w:r>
          </w:p>
          <w:p>
            <w:pPr>
              <w:numPr>
                <w:ilvl w:val="0"/>
                <w:numId w:val="2"/>
              </w:numPr>
              <w:spacing w:after="0"/>
              <w:jc w:val="both"/>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2号机组：因雷击，外网失电，厂用电中断，恢复期间在线监测设备故障，故障时间为6月3日20点到6月5日9点（期间6月4日14时、15时进行了运维仪表标定），CEMS故障时间36小时。</w:t>
            </w:r>
          </w:p>
        </w:tc>
      </w:tr>
      <w:tr>
        <w:tblPrEx>
          <w:tblCellMar>
            <w:top w:w="0" w:type="dxa"/>
            <w:left w:w="108" w:type="dxa"/>
            <w:bottom w:w="0" w:type="dxa"/>
            <w:right w:w="108" w:type="dxa"/>
          </w:tblCellMar>
        </w:tblPrEx>
        <w:trPr>
          <w:trHeight w:val="550" w:hRule="atLeast"/>
          <w:jc w:val="center"/>
        </w:trPr>
        <w:tc>
          <w:tcPr>
            <w:tcW w:w="160" w:type="pct"/>
            <w:vMerge w:val="continue"/>
            <w:tcBorders>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p>
        </w:tc>
        <w:tc>
          <w:tcPr>
            <w:tcW w:w="481" w:type="pct"/>
            <w:vMerge w:val="continue"/>
            <w:tcBorders>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2号</w:t>
            </w:r>
          </w:p>
        </w:tc>
        <w:tc>
          <w:tcPr>
            <w:tcW w:w="37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仿宋_GB2312" w:cs="Times New Roman"/>
                <w:color w:val="auto"/>
              </w:rPr>
            </w:pPr>
            <w:r>
              <w:rPr>
                <w:rFonts w:ascii="Times New Roman" w:hAnsi="Times New Roman" w:eastAsia="仿宋_GB2312" w:cs="Times New Roman"/>
                <w:color w:val="auto"/>
              </w:rPr>
              <w:t>15</w:t>
            </w:r>
          </w:p>
        </w:tc>
        <w:tc>
          <w:tcPr>
            <w:tcW w:w="32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二季度</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rPr>
            </w:pPr>
            <w:r>
              <w:rPr>
                <w:rFonts w:hint="eastAsia" w:ascii="Times New Roman" w:hAnsi="Times New Roman" w:eastAsia="仿宋_GB2312" w:cs="Times New Roman"/>
                <w:color w:val="auto"/>
                <w:lang w:val="en-US" w:eastAsia="zh-CN"/>
              </w:rPr>
              <w:t>1640.3</w:t>
            </w:r>
          </w:p>
        </w:tc>
        <w:tc>
          <w:tcPr>
            <w:tcW w:w="14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仿宋_GB2312" w:cs="Times New Roman"/>
                <w:color w:val="auto"/>
                <w:lang w:val="en-US"/>
              </w:rPr>
            </w:pPr>
            <w:r>
              <w:rPr>
                <w:rFonts w:hint="eastAsia" w:ascii="Times New Roman" w:hAnsi="Times New Roman" w:eastAsia="仿宋_GB2312" w:cs="Times New Roman"/>
                <w:color w:val="auto"/>
                <w:lang w:val="en-US" w:eastAsia="zh-CN"/>
              </w:rPr>
              <w:t>1585.3</w:t>
            </w:r>
          </w:p>
        </w:tc>
        <w:tc>
          <w:tcPr>
            <w:tcW w:w="11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96.65%</w:t>
            </w:r>
          </w:p>
        </w:tc>
        <w:tc>
          <w:tcPr>
            <w:tcW w:w="1940" w:type="pct"/>
            <w:vMerge w:val="continue"/>
            <w:tcBorders>
              <w:left w:val="single" w:color="auto" w:sz="4" w:space="0"/>
              <w:bottom w:val="single" w:color="auto" w:sz="4" w:space="0"/>
              <w:right w:val="single" w:color="auto" w:sz="4" w:space="0"/>
            </w:tcBorders>
            <w:vAlign w:val="center"/>
          </w:tcPr>
          <w:p>
            <w:pPr>
              <w:spacing w:after="0"/>
              <w:rPr>
                <w:rFonts w:ascii="Times New Roman" w:hAnsi="Times New Roman" w:eastAsia="仿宋_GB2312" w:cs="Times New Roman"/>
                <w:color w:val="auto"/>
              </w:rPr>
            </w:pPr>
          </w:p>
        </w:tc>
      </w:tr>
      <w:tr>
        <w:tblPrEx>
          <w:tblCellMar>
            <w:top w:w="0" w:type="dxa"/>
            <w:left w:w="108" w:type="dxa"/>
            <w:bottom w:w="0" w:type="dxa"/>
            <w:right w:w="108" w:type="dxa"/>
          </w:tblCellMar>
        </w:tblPrEx>
        <w:trPr>
          <w:trHeight w:val="1097" w:hRule="atLeast"/>
          <w:jc w:val="center"/>
        </w:trPr>
        <w:tc>
          <w:tcPr>
            <w:tcW w:w="160"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3</w:t>
            </w:r>
          </w:p>
        </w:tc>
        <w:tc>
          <w:tcPr>
            <w:tcW w:w="48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ascii="Times New Roman" w:hAnsi="Times New Roman" w:eastAsia="仿宋_GB2312" w:cs="Times New Roman"/>
                <w:color w:val="auto"/>
              </w:rPr>
            </w:pPr>
            <w:r>
              <w:rPr>
                <w:rFonts w:ascii="Times New Roman" w:hAnsi="Times New Roman" w:eastAsia="仿宋_GB2312" w:cs="Times New Roman"/>
                <w:color w:val="auto"/>
              </w:rPr>
              <w:t>仙居县现代热力有限公司</w:t>
            </w:r>
          </w:p>
        </w:tc>
        <w:tc>
          <w:tcPr>
            <w:tcW w:w="32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1号</w:t>
            </w:r>
          </w:p>
        </w:tc>
        <w:tc>
          <w:tcPr>
            <w:tcW w:w="379" w:type="pct"/>
            <w:tcBorders>
              <w:top w:val="single" w:color="auto" w:sz="4" w:space="0"/>
              <w:left w:val="single" w:color="auto" w:sz="4" w:space="0"/>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3</w:t>
            </w:r>
          </w:p>
        </w:tc>
        <w:tc>
          <w:tcPr>
            <w:tcW w:w="321" w:type="pct"/>
            <w:tcBorders>
              <w:top w:val="single" w:color="auto" w:sz="4" w:space="0"/>
              <w:left w:val="single" w:color="auto" w:sz="4" w:space="0"/>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eastAsia="zh-CN"/>
              </w:rPr>
              <w:t>二季度</w:t>
            </w:r>
          </w:p>
        </w:tc>
        <w:tc>
          <w:tcPr>
            <w:tcW w:w="1316" w:type="dxa"/>
            <w:tcBorders>
              <w:top w:val="single" w:color="auto" w:sz="4" w:space="0"/>
              <w:left w:val="single" w:color="auto" w:sz="4" w:space="0"/>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val="en-US" w:eastAsia="zh-CN"/>
              </w:rPr>
              <w:t>/</w:t>
            </w:r>
          </w:p>
        </w:tc>
        <w:tc>
          <w:tcPr>
            <w:tcW w:w="1453" w:type="dxa"/>
            <w:tcBorders>
              <w:top w:val="single" w:color="auto" w:sz="4" w:space="0"/>
              <w:left w:val="nil"/>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val="en-US" w:eastAsia="zh-CN"/>
              </w:rPr>
              <w:t>/</w:t>
            </w:r>
          </w:p>
        </w:tc>
        <w:tc>
          <w:tcPr>
            <w:tcW w:w="418" w:type="pct"/>
            <w:tcBorders>
              <w:top w:val="single" w:color="auto" w:sz="4" w:space="0"/>
              <w:left w:val="nil"/>
              <w:bottom w:val="single" w:color="auto" w:sz="4" w:space="0"/>
              <w:right w:val="single" w:color="auto" w:sz="4" w:space="0"/>
            </w:tcBorders>
            <w:vAlign w:val="center"/>
          </w:tcPr>
          <w:p>
            <w:pPr>
              <w:spacing w:after="120"/>
              <w:jc w:val="center"/>
              <w:rPr>
                <w:rFonts w:hint="eastAsia" w:ascii="Times New Roman" w:hAnsi="Times New Roman" w:eastAsia="仿宋_GB2312" w:cs="Times New Roman"/>
                <w:color w:val="auto"/>
                <w:lang w:eastAsia="zh-CN"/>
              </w:rPr>
            </w:pPr>
            <w:r>
              <w:rPr>
                <w:rFonts w:hint="eastAsia" w:ascii="Times New Roman" w:hAnsi="Times New Roman" w:eastAsia="仿宋_GB2312" w:cs="Times New Roman"/>
                <w:color w:val="auto"/>
                <w:lang w:val="en-US" w:eastAsia="zh-CN"/>
              </w:rPr>
              <w:t>/</w:t>
            </w:r>
          </w:p>
        </w:tc>
        <w:tc>
          <w:tcPr>
            <w:tcW w:w="1940" w:type="pct"/>
            <w:tcBorders>
              <w:top w:val="single" w:color="auto" w:sz="4" w:space="0"/>
              <w:left w:val="single" w:color="auto" w:sz="4" w:space="0"/>
              <w:bottom w:val="single" w:color="auto" w:sz="4" w:space="0"/>
              <w:right w:val="single" w:color="auto" w:sz="4" w:space="0"/>
            </w:tcBorders>
            <w:vAlign w:val="center"/>
          </w:tcPr>
          <w:p>
            <w:pPr>
              <w:spacing w:after="120"/>
              <w:rPr>
                <w:rFonts w:hint="default" w:eastAsia="仿宋_GB2312"/>
                <w:color w:val="auto"/>
                <w:lang w:val="en-US" w:eastAsia="zh-CN"/>
              </w:rPr>
            </w:pPr>
            <w:r>
              <w:rPr>
                <w:rFonts w:hint="eastAsia" w:ascii="Times New Roman" w:hAnsi="Times New Roman" w:eastAsia="仿宋_GB2312" w:cs="Times New Roman"/>
                <w:color w:val="auto"/>
              </w:rPr>
              <w:t>1号机组停</w:t>
            </w:r>
            <w:r>
              <w:rPr>
                <w:rFonts w:hint="eastAsia" w:ascii="Times New Roman" w:hAnsi="Times New Roman" w:eastAsia="仿宋_GB2312" w:cs="Times New Roman"/>
                <w:color w:val="auto"/>
                <w:lang w:val="en-US" w:eastAsia="zh-CN"/>
              </w:rPr>
              <w:t>运</w:t>
            </w:r>
            <w:r>
              <w:rPr>
                <w:rFonts w:hint="eastAsia" w:ascii="Times New Roman" w:hAnsi="Times New Roman" w:eastAsia="仿宋_GB2312" w:cs="Times New Roman"/>
                <w:color w:val="auto"/>
              </w:rPr>
              <w:t>，不参与二季度运行及超低排放考核。</w:t>
            </w:r>
          </w:p>
        </w:tc>
      </w:tr>
    </w:tbl>
    <w:p>
      <w:r>
        <w:rPr>
          <w:rFonts w:hint="eastAsia" w:ascii="Times New Roman" w:hAnsi="Times New Roman" w:eastAsia="仿宋_GB2312" w:cs="Times New Roman"/>
          <w:b w:val="0"/>
          <w:bCs w:val="0"/>
          <w:color w:val="auto"/>
          <w:sz w:val="22"/>
          <w:szCs w:val="22"/>
          <w:lang w:val="en-US" w:eastAsia="zh-CN"/>
        </w:rPr>
        <w:t>备注：根据《关于进一步加强省统调燃煤发电机组环保设施运行监管及环保电价考核的通知》（浙环函〔2014〕497号），环保部门现场检查或运维单位定期巡检，进行CEMS维护保养、校准校验造成短时数据缺失或异常的，企业应按规定记录和报告，相应时段的短时缺失和异常数据可剔除。</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D1D47"/>
    <w:multiLevelType w:val="singleLevel"/>
    <w:tmpl w:val="BDED1D47"/>
    <w:lvl w:ilvl="0" w:tentative="0">
      <w:start w:val="1"/>
      <w:numFmt w:val="decimal"/>
      <w:suff w:val="nothing"/>
      <w:lvlText w:val="（%1）"/>
      <w:lvlJc w:val="left"/>
    </w:lvl>
  </w:abstractNum>
  <w:abstractNum w:abstractNumId="1">
    <w:nsid w:val="37A3AD22"/>
    <w:multiLevelType w:val="singleLevel"/>
    <w:tmpl w:val="37A3AD2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D3BA6"/>
    <w:rsid w:val="69DD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2021-07-15T03:54:00Z</dcterms:created>
  <dc:creator>林琴</dc:creator>
  <cp:lastModifiedBy>林琴</cp:lastModifiedBy>
  <dcterms:modified xsi:type="dcterms:W3CDTF">2021-07-15T03:54:41Z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